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b/>
          <w:bCs/>
          <w:color w:val="auto"/>
          <w:sz w:val="52"/>
          <w:szCs w:val="52"/>
        </w:rPr>
      </w:pPr>
      <w:bookmarkStart w:id="403" w:name="_GoBack"/>
      <w:bookmarkEnd w:id="403"/>
      <w:bookmarkStart w:id="0" w:name="_Toc125129292"/>
      <w:bookmarkStart w:id="1" w:name="_Toc32815540"/>
    </w:p>
    <w:p>
      <w:pPr>
        <w:snapToGrid w:val="0"/>
        <w:jc w:val="center"/>
        <w:rPr>
          <w:rFonts w:ascii="宋体" w:hAnsi="宋体"/>
          <w:b/>
          <w:bCs/>
          <w:color w:val="auto"/>
          <w:sz w:val="52"/>
          <w:szCs w:val="52"/>
        </w:rPr>
      </w:pPr>
    </w:p>
    <w:p>
      <w:pPr>
        <w:snapToGrid w:val="0"/>
        <w:jc w:val="center"/>
        <w:rPr>
          <w:rFonts w:ascii="宋体" w:hAnsi="宋体"/>
          <w:b/>
          <w:bCs/>
          <w:color w:val="auto"/>
          <w:sz w:val="52"/>
          <w:szCs w:val="52"/>
        </w:rPr>
      </w:pPr>
    </w:p>
    <w:p>
      <w:pPr>
        <w:snapToGrid w:val="0"/>
        <w:jc w:val="center"/>
        <w:rPr>
          <w:rFonts w:ascii="黑体" w:hAnsi="黑体" w:eastAsia="黑体"/>
          <w:b/>
          <w:bCs/>
          <w:color w:val="auto"/>
          <w:sz w:val="84"/>
          <w:szCs w:val="84"/>
        </w:rPr>
      </w:pPr>
      <w:r>
        <w:rPr>
          <w:rFonts w:hint="eastAsia" w:ascii="黑体" w:hAnsi="黑体" w:eastAsia="黑体"/>
          <w:b/>
          <w:bCs/>
          <w:color w:val="auto"/>
          <w:sz w:val="84"/>
          <w:szCs w:val="84"/>
        </w:rPr>
        <w:t>招 标 文 件</w:t>
      </w:r>
    </w:p>
    <w:p>
      <w:pPr>
        <w:pStyle w:val="22"/>
        <w:spacing w:line="0" w:lineRule="atLeast"/>
        <w:jc w:val="center"/>
        <w:rPr>
          <w:rFonts w:hAnsi="宋体"/>
          <w:b/>
          <w:bCs/>
          <w:color w:val="auto"/>
          <w:sz w:val="30"/>
          <w:szCs w:val="30"/>
        </w:rPr>
      </w:pPr>
    </w:p>
    <w:p>
      <w:pPr>
        <w:snapToGrid w:val="0"/>
        <w:jc w:val="center"/>
        <w:rPr>
          <w:rFonts w:ascii="宋体" w:hAnsi="宋体"/>
          <w:b/>
          <w:bCs/>
          <w:color w:val="auto"/>
          <w:sz w:val="44"/>
          <w:szCs w:val="44"/>
        </w:rPr>
      </w:pPr>
    </w:p>
    <w:p>
      <w:pPr>
        <w:snapToGrid w:val="0"/>
        <w:jc w:val="center"/>
        <w:rPr>
          <w:rFonts w:ascii="宋体" w:hAnsi="宋体"/>
          <w:b/>
          <w:bCs/>
          <w:color w:val="auto"/>
          <w:sz w:val="44"/>
          <w:szCs w:val="44"/>
        </w:rPr>
      </w:pPr>
    </w:p>
    <w:p>
      <w:pPr>
        <w:snapToGrid w:val="0"/>
        <w:jc w:val="center"/>
        <w:rPr>
          <w:rFonts w:ascii="宋体" w:hAnsi="宋体"/>
          <w:b/>
          <w:bCs/>
          <w:color w:val="auto"/>
          <w:sz w:val="44"/>
          <w:szCs w:val="44"/>
        </w:rPr>
      </w:pPr>
    </w:p>
    <w:p>
      <w:pPr>
        <w:pStyle w:val="40"/>
        <w:rPr>
          <w:rFonts w:ascii="宋体" w:hAnsi="宋体"/>
          <w:b/>
          <w:bCs/>
          <w:color w:val="auto"/>
          <w:sz w:val="44"/>
          <w:szCs w:val="44"/>
        </w:rPr>
      </w:pPr>
    </w:p>
    <w:p>
      <w:pPr>
        <w:pStyle w:val="40"/>
        <w:rPr>
          <w:rFonts w:ascii="宋体" w:hAnsi="宋体"/>
          <w:b/>
          <w:bCs/>
          <w:color w:val="auto"/>
          <w:sz w:val="44"/>
          <w:szCs w:val="44"/>
        </w:rPr>
      </w:pPr>
    </w:p>
    <w:p>
      <w:pPr>
        <w:pStyle w:val="40"/>
        <w:rPr>
          <w:rFonts w:ascii="宋体" w:hAnsi="宋体"/>
          <w:b/>
          <w:bCs/>
          <w:color w:val="auto"/>
          <w:sz w:val="44"/>
          <w:szCs w:val="44"/>
        </w:rPr>
      </w:pPr>
    </w:p>
    <w:p>
      <w:pPr>
        <w:pStyle w:val="40"/>
        <w:rPr>
          <w:rFonts w:ascii="宋体" w:hAnsi="宋体"/>
          <w:b/>
          <w:bCs/>
          <w:color w:val="auto"/>
          <w:sz w:val="44"/>
          <w:szCs w:val="44"/>
        </w:rPr>
      </w:pPr>
    </w:p>
    <w:p>
      <w:pPr>
        <w:pStyle w:val="40"/>
        <w:rPr>
          <w:rFonts w:ascii="宋体" w:hAnsi="宋体"/>
          <w:b/>
          <w:bCs/>
          <w:color w:val="auto"/>
          <w:sz w:val="44"/>
          <w:szCs w:val="44"/>
        </w:rPr>
      </w:pPr>
    </w:p>
    <w:p>
      <w:pPr>
        <w:pStyle w:val="22"/>
        <w:spacing w:line="360" w:lineRule="auto"/>
        <w:ind w:firstLine="904" w:firstLineChars="300"/>
        <w:rPr>
          <w:rFonts w:hint="eastAsia" w:hAnsi="宋体" w:eastAsia="宋体"/>
          <w:b/>
          <w:bCs/>
          <w:color w:val="auto"/>
          <w:sz w:val="30"/>
          <w:szCs w:val="30"/>
          <w:u w:val="single"/>
          <w:lang w:eastAsia="zh-CN"/>
        </w:rPr>
      </w:pPr>
      <w:r>
        <w:rPr>
          <w:rFonts w:hint="eastAsia" w:hAnsi="宋体"/>
          <w:b/>
          <w:bCs/>
          <w:color w:val="auto"/>
          <w:sz w:val="30"/>
          <w:szCs w:val="30"/>
        </w:rPr>
        <w:t>招标编号：</w:t>
      </w:r>
      <w:r>
        <w:rPr>
          <w:rFonts w:hint="eastAsia" w:hAnsi="宋体"/>
          <w:b/>
          <w:bCs/>
          <w:color w:val="auto"/>
          <w:sz w:val="30"/>
          <w:szCs w:val="30"/>
          <w:lang w:eastAsia="zh-CN"/>
        </w:rPr>
        <w:t>HT2023-CG014</w:t>
      </w:r>
    </w:p>
    <w:p>
      <w:pPr>
        <w:pStyle w:val="22"/>
        <w:spacing w:line="360" w:lineRule="auto"/>
        <w:ind w:firstLine="904" w:firstLineChars="300"/>
        <w:rPr>
          <w:rFonts w:hAnsi="宋体"/>
          <w:b/>
          <w:bCs/>
          <w:color w:val="auto"/>
          <w:sz w:val="30"/>
          <w:szCs w:val="30"/>
        </w:rPr>
      </w:pPr>
      <w:r>
        <w:rPr>
          <w:rFonts w:hint="eastAsia" w:hAnsi="宋体"/>
          <w:b/>
          <w:bCs/>
          <w:color w:val="auto"/>
          <w:sz w:val="30"/>
          <w:szCs w:val="30"/>
        </w:rPr>
        <w:t>项目名称：</w:t>
      </w:r>
      <w:r>
        <w:rPr>
          <w:rFonts w:hint="eastAsia" w:hAnsi="宋体" w:cs="宋体"/>
          <w:b/>
          <w:bCs/>
          <w:color w:val="auto"/>
          <w:sz w:val="30"/>
          <w:szCs w:val="30"/>
          <w:highlight w:val="none"/>
          <w:lang w:eastAsia="zh-CN"/>
        </w:rPr>
        <w:t>2023年度码头智能化设施维养外包</w:t>
      </w:r>
    </w:p>
    <w:p>
      <w:pPr>
        <w:pStyle w:val="22"/>
        <w:spacing w:line="360" w:lineRule="auto"/>
        <w:ind w:right="250" w:rightChars="119" w:firstLine="904" w:firstLineChars="300"/>
        <w:rPr>
          <w:rFonts w:hint="eastAsia" w:hAnsi="宋体" w:eastAsia="宋体"/>
          <w:b/>
          <w:bCs/>
          <w:color w:val="auto"/>
          <w:sz w:val="30"/>
          <w:szCs w:val="30"/>
          <w:lang w:eastAsia="zh-CN"/>
        </w:rPr>
      </w:pPr>
      <w:r>
        <w:rPr>
          <w:rFonts w:hint="eastAsia" w:hAnsi="宋体"/>
          <w:b/>
          <w:bCs/>
          <w:color w:val="auto"/>
          <w:sz w:val="30"/>
          <w:szCs w:val="30"/>
        </w:rPr>
        <w:t>招 标 人：</w:t>
      </w:r>
      <w:r>
        <w:rPr>
          <w:rFonts w:hint="eastAsia" w:hAnsi="宋体" w:cs="宋体"/>
          <w:b/>
          <w:bCs/>
          <w:color w:val="auto"/>
          <w:sz w:val="30"/>
          <w:szCs w:val="30"/>
          <w:highlight w:val="none"/>
          <w:lang w:eastAsia="zh-CN"/>
        </w:rPr>
        <w:t>厦门五缘游艇文化发展有限公司</w:t>
      </w:r>
    </w:p>
    <w:p>
      <w:pPr>
        <w:pStyle w:val="22"/>
        <w:spacing w:line="360" w:lineRule="auto"/>
        <w:ind w:firstLine="904" w:firstLineChars="300"/>
        <w:rPr>
          <w:rFonts w:hAnsi="宋体"/>
          <w:b/>
          <w:bCs/>
          <w:color w:val="auto"/>
          <w:sz w:val="30"/>
          <w:szCs w:val="30"/>
        </w:rPr>
      </w:pPr>
      <w:r>
        <w:rPr>
          <w:rFonts w:hint="eastAsia" w:hAnsi="宋体"/>
          <w:b/>
          <w:bCs/>
          <w:color w:val="auto"/>
          <w:sz w:val="30"/>
          <w:szCs w:val="30"/>
        </w:rPr>
        <w:t>代理机构：</w:t>
      </w:r>
      <w:r>
        <w:rPr>
          <w:rFonts w:hint="eastAsia" w:hAnsi="宋体"/>
          <w:b/>
          <w:bCs/>
          <w:color w:val="auto"/>
          <w:sz w:val="30"/>
          <w:szCs w:val="30"/>
          <w:lang w:eastAsia="zh-CN"/>
        </w:rPr>
        <w:t>厦门路桥百城管理咨询有限公司</w:t>
      </w:r>
    </w:p>
    <w:p>
      <w:pPr>
        <w:rPr>
          <w:rFonts w:ascii="宋体" w:hAnsi="宋体"/>
          <w:color w:val="auto"/>
        </w:rPr>
      </w:pPr>
    </w:p>
    <w:p>
      <w:pPr>
        <w:pStyle w:val="22"/>
        <w:pageBreakBefore/>
        <w:spacing w:line="360" w:lineRule="auto"/>
        <w:jc w:val="center"/>
        <w:rPr>
          <w:rFonts w:hAnsi="宋体"/>
          <w:color w:val="auto"/>
          <w:sz w:val="36"/>
          <w:szCs w:val="36"/>
        </w:rPr>
      </w:pPr>
      <w:bookmarkStart w:id="2" w:name="_Toc157418557"/>
      <w:bookmarkStart w:id="3" w:name="_Toc163364646"/>
      <w:bookmarkStart w:id="4" w:name="_Toc178674763"/>
      <w:bookmarkStart w:id="5" w:name="_Toc157418350"/>
      <w:bookmarkStart w:id="6" w:name="_Toc165385343"/>
      <w:r>
        <w:rPr>
          <w:rFonts w:hint="eastAsia" w:hAnsi="宋体"/>
          <w:color w:val="auto"/>
          <w:sz w:val="36"/>
          <w:szCs w:val="36"/>
        </w:rPr>
        <w:t>投标提醒</w:t>
      </w:r>
    </w:p>
    <w:bookmarkEnd w:id="2"/>
    <w:bookmarkEnd w:id="3"/>
    <w:bookmarkEnd w:id="4"/>
    <w:bookmarkEnd w:id="5"/>
    <w:bookmarkEnd w:id="6"/>
    <w:p>
      <w:pPr>
        <w:spacing w:line="360" w:lineRule="auto"/>
        <w:ind w:firstLine="480" w:firstLineChars="200"/>
        <w:rPr>
          <w:rFonts w:ascii="宋体" w:hAnsi="宋体"/>
          <w:color w:val="auto"/>
          <w:sz w:val="24"/>
        </w:rPr>
      </w:pPr>
      <w:r>
        <w:rPr>
          <w:rFonts w:hint="eastAsia" w:ascii="宋体" w:hAnsi="宋体"/>
          <w:color w:val="auto"/>
          <w:sz w:val="24"/>
        </w:rPr>
        <w:t>以下内容是以往投标人在投标过程中容易疏忽的情况，为避免不必要的失误，请各投标人在投标前务必认真阅读以下事项：</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投标人必须满足招标文件《投标人须知前附表2：资格性、符合性检查表》中所列各项要求，否则将导致投标文件作废或投标无效。</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招标文件中带★号的条款均为关键条款，负偏离或不满足的将导致投标文件作废或投标无效。投标人应按照投标文件格式编制一张★号条款汇总表，避免因投标文件的顺序被误认定为没有提供。</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招标文件如有变更（答疑文件、补充通知、延期通知、最高限价通知等），招标代理机构将发出书面通知（以传真或E-MAIL的形式或</w:t>
      </w:r>
      <w:r>
        <w:rPr>
          <w:rFonts w:hint="eastAsia" w:ascii="宋体" w:hAnsi="宋体" w:cs="宋体"/>
          <w:color w:val="auto"/>
          <w:kern w:val="0"/>
          <w:sz w:val="24"/>
        </w:rPr>
        <w:t>在</w:t>
      </w:r>
      <w:r>
        <w:rPr>
          <w:rFonts w:hint="eastAsia" w:ascii="宋体" w:hAnsi="宋体" w:cs="宋体"/>
          <w:color w:val="auto"/>
          <w:sz w:val="24"/>
        </w:rPr>
        <w:t>原信息发布媒体上</w:t>
      </w:r>
      <w:r>
        <w:rPr>
          <w:rFonts w:hint="eastAsia" w:ascii="宋体" w:hAnsi="宋体" w:cs="宋体"/>
          <w:color w:val="auto"/>
          <w:kern w:val="0"/>
          <w:sz w:val="24"/>
        </w:rPr>
        <w:t>发布通知</w:t>
      </w:r>
      <w:r>
        <w:rPr>
          <w:rFonts w:hint="eastAsia" w:ascii="宋体" w:hAnsi="宋体"/>
          <w:color w:val="auto"/>
          <w:sz w:val="24"/>
        </w:rPr>
        <w:t>）。</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为确保在投标截止时间前提交投标文件，请务必考虑交通拥挤及其他不可预见因素，提前做好出行安排，提交投标文件的时间以投标人在规定投标截止时间前，将投标文件提交至指定地点为准。</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投标保证金手续办理完毕后，请再次核对账号、收款单位、开户银行是否正确，是否足额提交投标保证金，并确保在投标截止时间前到账，否则将被视为无效投标处理。同时请各投标人在提交投标文件时，另外单独提交一份保证金缴交凭证复印件，以便及时核对保证金到账情况和办理保证金退还。</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请各投标人单独提供一份开标一览表并用信封密封，作为开标会唱标用。</w:t>
      </w:r>
    </w:p>
    <w:p>
      <w:pPr>
        <w:numPr>
          <w:ilvl w:val="0"/>
          <w:numId w:val="1"/>
        </w:numPr>
        <w:tabs>
          <w:tab w:val="left" w:pos="851"/>
        </w:tabs>
        <w:snapToGrid w:val="0"/>
        <w:spacing w:line="360" w:lineRule="auto"/>
        <w:ind w:left="0" w:firstLine="480"/>
        <w:rPr>
          <w:rFonts w:ascii="宋体" w:hAnsi="宋体"/>
          <w:color w:val="auto"/>
          <w:sz w:val="24"/>
        </w:rPr>
      </w:pPr>
      <w:r>
        <w:rPr>
          <w:rFonts w:hint="eastAsia" w:ascii="宋体" w:hAnsi="宋体"/>
          <w:color w:val="auto"/>
          <w:sz w:val="24"/>
        </w:rPr>
        <w:t>招标文件第五章的投标文件格式中要求投标人盖章、投标代表签字的均应按要求盖章、签字，其他材料若无法逐页加盖投标人公章，至少要盖骑缝章（包括投标人所提供的产品彩页等佐证材料）。</w:t>
      </w:r>
    </w:p>
    <w:p>
      <w:pPr>
        <w:numPr>
          <w:ilvl w:val="0"/>
          <w:numId w:val="1"/>
        </w:numPr>
        <w:tabs>
          <w:tab w:val="left" w:pos="851"/>
        </w:tabs>
        <w:snapToGrid w:val="0"/>
        <w:spacing w:line="360" w:lineRule="auto"/>
        <w:ind w:left="0" w:firstLine="480"/>
        <w:rPr>
          <w:rFonts w:ascii="宋体" w:hAnsi="宋体"/>
          <w:color w:val="auto"/>
          <w:sz w:val="32"/>
          <w:szCs w:val="32"/>
          <w:lang w:val="zh-CN"/>
        </w:rPr>
      </w:pPr>
      <w:r>
        <w:rPr>
          <w:rFonts w:hint="eastAsia" w:ascii="宋体" w:hAnsi="宋体"/>
          <w:color w:val="auto"/>
          <w:sz w:val="24"/>
        </w:rPr>
        <w:t>为确保投标文件密封的完好性，在提交投标文件时投标人应自行检查投标文件的密封情况。投标人须确保密封的牢固性，投标文件的封口包括文件袋的袋口、袋底及侧边均应按要求进行密封。投标人应自行承担监标人在检查投标文件过程中因密封不符合规定导致投标文件被拒绝的所有责任。</w:t>
      </w:r>
    </w:p>
    <w:p>
      <w:pPr>
        <w:numPr>
          <w:ilvl w:val="0"/>
          <w:numId w:val="0"/>
        </w:numPr>
        <w:tabs>
          <w:tab w:val="left" w:pos="851"/>
        </w:tabs>
        <w:snapToGrid w:val="0"/>
        <w:spacing w:line="360" w:lineRule="auto"/>
        <w:ind w:firstLine="3520" w:firstLineChars="1100"/>
        <w:rPr>
          <w:rFonts w:ascii="宋体" w:hAnsi="宋体"/>
          <w:color w:val="auto"/>
          <w:sz w:val="32"/>
          <w:szCs w:val="32"/>
          <w:lang w:val="zh-CN"/>
        </w:rPr>
      </w:pPr>
    </w:p>
    <w:p>
      <w:pPr>
        <w:numPr>
          <w:ilvl w:val="0"/>
          <w:numId w:val="0"/>
        </w:numPr>
        <w:tabs>
          <w:tab w:val="left" w:pos="851"/>
        </w:tabs>
        <w:snapToGrid w:val="0"/>
        <w:spacing w:line="360" w:lineRule="auto"/>
        <w:ind w:firstLine="3520" w:firstLineChars="1100"/>
        <w:rPr>
          <w:rFonts w:ascii="宋体" w:hAnsi="宋体"/>
          <w:color w:val="auto"/>
          <w:sz w:val="32"/>
          <w:szCs w:val="32"/>
          <w:lang w:val="zh-CN"/>
        </w:rPr>
      </w:pPr>
    </w:p>
    <w:p>
      <w:pPr>
        <w:numPr>
          <w:ilvl w:val="0"/>
          <w:numId w:val="0"/>
        </w:numPr>
        <w:tabs>
          <w:tab w:val="left" w:pos="851"/>
        </w:tabs>
        <w:snapToGrid w:val="0"/>
        <w:spacing w:line="360" w:lineRule="auto"/>
        <w:ind w:firstLine="3520" w:firstLineChars="1100"/>
        <w:rPr>
          <w:rFonts w:ascii="宋体" w:hAnsi="宋体"/>
          <w:color w:val="auto"/>
          <w:sz w:val="32"/>
          <w:szCs w:val="32"/>
          <w:lang w:val="zh-CN"/>
        </w:rPr>
      </w:pPr>
    </w:p>
    <w:p>
      <w:pPr>
        <w:numPr>
          <w:ilvl w:val="0"/>
          <w:numId w:val="0"/>
        </w:numPr>
        <w:tabs>
          <w:tab w:val="left" w:pos="851"/>
        </w:tabs>
        <w:snapToGrid w:val="0"/>
        <w:spacing w:line="360" w:lineRule="auto"/>
        <w:ind w:firstLine="0" w:firstLineChars="0"/>
        <w:jc w:val="center"/>
        <w:rPr>
          <w:rFonts w:ascii="宋体" w:hAnsi="宋体"/>
          <w:color w:val="auto"/>
          <w:sz w:val="32"/>
          <w:szCs w:val="32"/>
          <w:lang w:val="zh-CN"/>
        </w:rPr>
      </w:pPr>
      <w:r>
        <w:rPr>
          <w:rFonts w:ascii="宋体" w:hAnsi="宋体"/>
          <w:color w:val="auto"/>
          <w:sz w:val="32"/>
          <w:szCs w:val="32"/>
          <w:lang w:val="zh-CN"/>
        </w:rPr>
        <w:t>目录</w:t>
      </w:r>
    </w:p>
    <w:p>
      <w:pPr>
        <w:rPr>
          <w:rFonts w:ascii="宋体" w:hAnsi="宋体"/>
          <w:color w:val="auto"/>
          <w:lang w:val="zh-CN"/>
        </w:rPr>
      </w:pPr>
    </w:p>
    <w:p>
      <w:pPr>
        <w:pStyle w:val="29"/>
        <w:tabs>
          <w:tab w:val="right" w:leader="dot" w:pos="8730"/>
        </w:tabs>
      </w:pPr>
      <w:r>
        <w:rPr>
          <w:rFonts w:ascii="宋体" w:hAnsi="宋体"/>
          <w:color w:val="auto"/>
        </w:rPr>
        <w:fldChar w:fldCharType="begin"/>
      </w:r>
      <w:r>
        <w:rPr>
          <w:rFonts w:ascii="宋体" w:hAnsi="宋体"/>
          <w:color w:val="auto"/>
        </w:rPr>
        <w:instrText xml:space="preserve"> TOC \o "1-3" \h \z \u </w:instrText>
      </w:r>
      <w:r>
        <w:rPr>
          <w:rFonts w:ascii="宋体" w:hAnsi="宋体"/>
          <w:color w:val="auto"/>
        </w:rPr>
        <w:fldChar w:fldCharType="separate"/>
      </w:r>
      <w:r>
        <w:rPr>
          <w:rFonts w:ascii="宋体" w:hAnsi="宋体"/>
          <w:color w:val="auto"/>
        </w:rPr>
        <w:fldChar w:fldCharType="begin"/>
      </w:r>
      <w:r>
        <w:rPr>
          <w:rFonts w:ascii="宋体" w:hAnsi="宋体"/>
        </w:rPr>
        <w:instrText xml:space="preserve"> HYPERLINK \l _Toc9798 </w:instrText>
      </w:r>
      <w:r>
        <w:rPr>
          <w:rFonts w:ascii="宋体" w:hAnsi="宋体"/>
        </w:rPr>
        <w:fldChar w:fldCharType="separate"/>
      </w:r>
      <w:r>
        <w:rPr>
          <w:rFonts w:hint="eastAsia" w:ascii="宋体" w:hAnsi="宋体" w:eastAsia="宋体"/>
        </w:rPr>
        <w:t>第一章　投标邀请</w:t>
      </w:r>
      <w:r>
        <w:tab/>
      </w:r>
      <w:r>
        <w:fldChar w:fldCharType="begin"/>
      </w:r>
      <w:r>
        <w:instrText xml:space="preserve"> PAGEREF _Toc9798 \h </w:instrText>
      </w:r>
      <w:r>
        <w:fldChar w:fldCharType="separate"/>
      </w:r>
      <w:r>
        <w:t>6</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_Toc24983 </w:instrText>
      </w:r>
      <w:r>
        <w:rPr>
          <w:rFonts w:ascii="宋体" w:hAnsi="宋体"/>
        </w:rPr>
        <w:fldChar w:fldCharType="separate"/>
      </w:r>
      <w:r>
        <w:rPr>
          <w:rFonts w:ascii="宋体" w:hAnsi="宋体" w:eastAsia="宋体"/>
        </w:rPr>
        <w:t>附：</w:t>
      </w:r>
      <w:r>
        <w:rPr>
          <w:rFonts w:hint="eastAsia" w:ascii="宋体" w:hAnsi="宋体" w:eastAsia="宋体"/>
        </w:rPr>
        <w:t>招标项目一览表</w:t>
      </w:r>
      <w:r>
        <w:tab/>
      </w:r>
      <w:r>
        <w:fldChar w:fldCharType="begin"/>
      </w:r>
      <w:r>
        <w:instrText xml:space="preserve"> PAGEREF _Toc24983 \h </w:instrText>
      </w:r>
      <w:r>
        <w:fldChar w:fldCharType="separate"/>
      </w:r>
      <w:r>
        <w:t>9</w:t>
      </w:r>
      <w:r>
        <w:fldChar w:fldCharType="end"/>
      </w:r>
      <w:r>
        <w:rPr>
          <w:rFonts w:ascii="宋体" w:hAnsi="宋体"/>
          <w:color w:val="auto"/>
        </w:rPr>
        <w:fldChar w:fldCharType="end"/>
      </w:r>
    </w:p>
    <w:p>
      <w:pPr>
        <w:pStyle w:val="29"/>
        <w:tabs>
          <w:tab w:val="right" w:leader="dot" w:pos="8730"/>
        </w:tabs>
      </w:pPr>
      <w:r>
        <w:rPr>
          <w:rFonts w:ascii="宋体" w:hAnsi="宋体"/>
          <w:color w:val="auto"/>
        </w:rPr>
        <w:fldChar w:fldCharType="begin"/>
      </w:r>
      <w:r>
        <w:rPr>
          <w:rFonts w:ascii="宋体" w:hAnsi="宋体"/>
        </w:rPr>
        <w:instrText xml:space="preserve"> HYPERLINK \l _Toc11341 </w:instrText>
      </w:r>
      <w:r>
        <w:rPr>
          <w:rFonts w:ascii="宋体" w:hAnsi="宋体"/>
        </w:rPr>
        <w:fldChar w:fldCharType="separate"/>
      </w:r>
      <w:r>
        <w:rPr>
          <w:rFonts w:hint="eastAsia" w:ascii="宋体" w:hAnsi="宋体" w:eastAsia="宋体"/>
        </w:rPr>
        <w:t>第二章　投标人须知</w:t>
      </w:r>
      <w:r>
        <w:tab/>
      </w:r>
      <w:r>
        <w:fldChar w:fldCharType="begin"/>
      </w:r>
      <w:r>
        <w:instrText xml:space="preserve"> PAGEREF _Toc11341 \h </w:instrText>
      </w:r>
      <w:r>
        <w:fldChar w:fldCharType="separate"/>
      </w:r>
      <w:r>
        <w:t>10</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_Toc862 </w:instrText>
      </w:r>
      <w:r>
        <w:rPr>
          <w:rFonts w:ascii="宋体" w:hAnsi="宋体"/>
        </w:rPr>
        <w:fldChar w:fldCharType="separate"/>
      </w:r>
      <w:r>
        <w:rPr>
          <w:rFonts w:ascii="宋体" w:hAnsi="宋体" w:eastAsia="宋体"/>
        </w:rPr>
        <w:t>投标人须知前附表1</w:t>
      </w:r>
      <w:r>
        <w:rPr>
          <w:rFonts w:ascii="宋体" w:hAnsi="宋体" w:eastAsia="宋体" w:cs="宋体"/>
          <w:kern w:val="0"/>
          <w:szCs w:val="18"/>
        </w:rPr>
        <w:t> </w:t>
      </w:r>
      <w:r>
        <w:tab/>
      </w:r>
      <w:r>
        <w:fldChar w:fldCharType="begin"/>
      </w:r>
      <w:r>
        <w:instrText xml:space="preserve"> PAGEREF _Toc862 \h </w:instrText>
      </w:r>
      <w:r>
        <w:fldChar w:fldCharType="separate"/>
      </w:r>
      <w:r>
        <w:t>10</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_Toc4353 </w:instrText>
      </w:r>
      <w:r>
        <w:rPr>
          <w:rFonts w:ascii="宋体" w:hAnsi="宋体"/>
        </w:rPr>
        <w:fldChar w:fldCharType="separate"/>
      </w:r>
      <w:r>
        <w:rPr>
          <w:rFonts w:ascii="宋体" w:hAnsi="宋体" w:eastAsia="宋体"/>
        </w:rPr>
        <w:t>投标人须知前附表2</w:t>
      </w:r>
      <w:r>
        <w:rPr>
          <w:rFonts w:hint="eastAsia" w:ascii="宋体" w:hAnsi="宋体" w:eastAsia="宋体"/>
        </w:rPr>
        <w:t>：</w:t>
      </w:r>
      <w:r>
        <w:rPr>
          <w:rFonts w:ascii="宋体" w:hAnsi="宋体" w:eastAsia="宋体"/>
        </w:rPr>
        <w:t>资格性、符合性检查表</w:t>
      </w:r>
      <w:r>
        <w:tab/>
      </w:r>
      <w:r>
        <w:fldChar w:fldCharType="begin"/>
      </w:r>
      <w:r>
        <w:instrText xml:space="preserve"> PAGEREF _Toc4353 \h </w:instrText>
      </w:r>
      <w:r>
        <w:fldChar w:fldCharType="separate"/>
      </w:r>
      <w:r>
        <w:t>12</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_Toc17990 </w:instrText>
      </w:r>
      <w:r>
        <w:rPr>
          <w:rFonts w:ascii="宋体" w:hAnsi="宋体"/>
        </w:rPr>
        <w:fldChar w:fldCharType="separate"/>
      </w:r>
      <w:r>
        <w:rPr>
          <w:rFonts w:ascii="宋体" w:hAnsi="宋体" w:eastAsia="宋体"/>
        </w:rPr>
        <w:t>投标人须知前附表3：评标方法、评标标准、定标原则</w:t>
      </w:r>
      <w:r>
        <w:tab/>
      </w:r>
      <w:r>
        <w:fldChar w:fldCharType="begin"/>
      </w:r>
      <w:r>
        <w:instrText xml:space="preserve"> PAGEREF _Toc17990 \h </w:instrText>
      </w:r>
      <w:r>
        <w:fldChar w:fldCharType="separate"/>
      </w:r>
      <w:r>
        <w:t>14</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_Toc2011 </w:instrText>
      </w:r>
      <w:r>
        <w:rPr>
          <w:rFonts w:ascii="宋体" w:hAnsi="宋体"/>
        </w:rPr>
        <w:fldChar w:fldCharType="separate"/>
      </w:r>
      <w:r>
        <w:rPr>
          <w:rFonts w:hint="eastAsia" w:ascii="宋体" w:hAnsi="宋体" w:eastAsia="宋体"/>
        </w:rPr>
        <w:t>第一节  说  明</w:t>
      </w:r>
      <w:r>
        <w:tab/>
      </w:r>
      <w:r>
        <w:fldChar w:fldCharType="begin"/>
      </w:r>
      <w:r>
        <w:instrText xml:space="preserve"> PAGEREF _Toc2011 \h </w:instrText>
      </w:r>
      <w:r>
        <w:fldChar w:fldCharType="separate"/>
      </w:r>
      <w:r>
        <w:t>19</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_Toc27422 </w:instrText>
      </w:r>
      <w:r>
        <w:rPr>
          <w:rFonts w:ascii="宋体" w:hAnsi="宋体"/>
        </w:rPr>
        <w:fldChar w:fldCharType="separate"/>
      </w:r>
      <w:r>
        <w:rPr>
          <w:rFonts w:hint="eastAsia" w:ascii="宋体" w:hAnsi="宋体" w:eastAsia="宋体"/>
          <w:szCs w:val="21"/>
        </w:rPr>
        <w:t xml:space="preserve">1 </w:t>
      </w:r>
      <w:r>
        <w:rPr>
          <w:rFonts w:ascii="宋体" w:hAnsi="宋体" w:eastAsia="宋体"/>
          <w:szCs w:val="21"/>
        </w:rPr>
        <w:t>适用范围</w:t>
      </w:r>
      <w:r>
        <w:tab/>
      </w:r>
      <w:r>
        <w:fldChar w:fldCharType="begin"/>
      </w:r>
      <w:r>
        <w:instrText xml:space="preserve"> PAGEREF _Toc27422 \h </w:instrText>
      </w:r>
      <w:r>
        <w:fldChar w:fldCharType="separate"/>
      </w:r>
      <w:r>
        <w:t>19</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_Toc9413 </w:instrText>
      </w:r>
      <w:r>
        <w:rPr>
          <w:rFonts w:ascii="宋体" w:hAnsi="宋体"/>
        </w:rPr>
        <w:fldChar w:fldCharType="separate"/>
      </w:r>
      <w:r>
        <w:rPr>
          <w:rFonts w:hint="eastAsia" w:ascii="宋体" w:hAnsi="宋体" w:eastAsia="宋体"/>
          <w:szCs w:val="21"/>
        </w:rPr>
        <w:t xml:space="preserve">2 </w:t>
      </w:r>
      <w:r>
        <w:rPr>
          <w:rFonts w:ascii="宋体" w:hAnsi="宋体" w:eastAsia="宋体"/>
          <w:szCs w:val="21"/>
        </w:rPr>
        <w:t>定义</w:t>
      </w:r>
      <w:r>
        <w:tab/>
      </w:r>
      <w:r>
        <w:fldChar w:fldCharType="begin"/>
      </w:r>
      <w:r>
        <w:instrText xml:space="preserve"> PAGEREF _Toc9413 \h </w:instrText>
      </w:r>
      <w:r>
        <w:fldChar w:fldCharType="separate"/>
      </w:r>
      <w:r>
        <w:t>19</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_Toc31537 </w:instrText>
      </w:r>
      <w:r>
        <w:rPr>
          <w:rFonts w:ascii="宋体" w:hAnsi="宋体"/>
        </w:rPr>
        <w:fldChar w:fldCharType="separate"/>
      </w:r>
      <w:r>
        <w:rPr>
          <w:rFonts w:hint="eastAsia" w:ascii="宋体" w:hAnsi="宋体" w:eastAsia="宋体"/>
          <w:szCs w:val="21"/>
        </w:rPr>
        <w:t xml:space="preserve">3 </w:t>
      </w:r>
      <w:r>
        <w:rPr>
          <w:rFonts w:ascii="宋体" w:hAnsi="宋体" w:eastAsia="宋体"/>
          <w:szCs w:val="21"/>
        </w:rPr>
        <w:t>合格的投标人</w:t>
      </w:r>
      <w:r>
        <w:tab/>
      </w:r>
      <w:r>
        <w:fldChar w:fldCharType="begin"/>
      </w:r>
      <w:r>
        <w:instrText xml:space="preserve"> PAGEREF _Toc31537 \h </w:instrText>
      </w:r>
      <w:r>
        <w:fldChar w:fldCharType="separate"/>
      </w:r>
      <w:r>
        <w:t>19</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_Toc9402 </w:instrText>
      </w:r>
      <w:r>
        <w:rPr>
          <w:rFonts w:ascii="宋体" w:hAnsi="宋体"/>
        </w:rPr>
        <w:fldChar w:fldCharType="separate"/>
      </w:r>
      <w:r>
        <w:rPr>
          <w:rFonts w:hint="eastAsia" w:ascii="宋体" w:hAnsi="宋体" w:eastAsia="宋体"/>
          <w:szCs w:val="21"/>
        </w:rPr>
        <w:t xml:space="preserve">4 </w:t>
      </w:r>
      <w:r>
        <w:rPr>
          <w:rFonts w:ascii="宋体" w:hAnsi="宋体" w:eastAsia="宋体"/>
          <w:szCs w:val="21"/>
        </w:rPr>
        <w:t>投标费用</w:t>
      </w:r>
      <w:r>
        <w:tab/>
      </w:r>
      <w:r>
        <w:fldChar w:fldCharType="begin"/>
      </w:r>
      <w:r>
        <w:instrText xml:space="preserve"> PAGEREF _Toc9402 \h </w:instrText>
      </w:r>
      <w:r>
        <w:fldChar w:fldCharType="separate"/>
      </w:r>
      <w:r>
        <w:t>21</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_Toc15590 </w:instrText>
      </w:r>
      <w:r>
        <w:rPr>
          <w:rFonts w:ascii="宋体" w:hAnsi="宋体"/>
        </w:rPr>
        <w:fldChar w:fldCharType="separate"/>
      </w:r>
      <w:r>
        <w:rPr>
          <w:rFonts w:hint="eastAsia" w:ascii="宋体" w:hAnsi="宋体" w:eastAsia="宋体"/>
        </w:rPr>
        <w:t>第</w:t>
      </w:r>
      <w:r>
        <w:rPr>
          <w:rFonts w:ascii="宋体" w:hAnsi="宋体" w:eastAsia="宋体"/>
        </w:rPr>
        <w:t>二</w:t>
      </w:r>
      <w:r>
        <w:rPr>
          <w:rFonts w:hint="eastAsia" w:ascii="宋体" w:hAnsi="宋体" w:eastAsia="宋体"/>
        </w:rPr>
        <w:t xml:space="preserve">节  </w:t>
      </w:r>
      <w:r>
        <w:rPr>
          <w:rFonts w:ascii="宋体" w:hAnsi="宋体" w:eastAsia="宋体"/>
        </w:rPr>
        <w:t>招标文件</w:t>
      </w:r>
      <w:r>
        <w:tab/>
      </w:r>
      <w:r>
        <w:fldChar w:fldCharType="begin"/>
      </w:r>
      <w:r>
        <w:instrText xml:space="preserve"> PAGEREF _Toc15590 \h </w:instrText>
      </w:r>
      <w:r>
        <w:fldChar w:fldCharType="separate"/>
      </w:r>
      <w:r>
        <w:t>21</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_Toc9335 </w:instrText>
      </w:r>
      <w:r>
        <w:rPr>
          <w:rFonts w:ascii="宋体" w:hAnsi="宋体"/>
        </w:rPr>
        <w:fldChar w:fldCharType="separate"/>
      </w:r>
      <w:r>
        <w:rPr>
          <w:rFonts w:hint="eastAsia" w:ascii="宋体" w:hAnsi="宋体" w:eastAsia="宋体"/>
          <w:szCs w:val="21"/>
        </w:rPr>
        <w:t xml:space="preserve">5 </w:t>
      </w:r>
      <w:r>
        <w:rPr>
          <w:rFonts w:ascii="宋体" w:hAnsi="宋体" w:eastAsia="宋体"/>
          <w:szCs w:val="21"/>
        </w:rPr>
        <w:t>招标文件的组成</w:t>
      </w:r>
      <w:r>
        <w:tab/>
      </w:r>
      <w:r>
        <w:fldChar w:fldCharType="begin"/>
      </w:r>
      <w:r>
        <w:instrText xml:space="preserve"> PAGEREF _Toc9335 \h </w:instrText>
      </w:r>
      <w:r>
        <w:fldChar w:fldCharType="separate"/>
      </w:r>
      <w:r>
        <w:t>21</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_Toc21045 </w:instrText>
      </w:r>
      <w:r>
        <w:rPr>
          <w:rFonts w:ascii="宋体" w:hAnsi="宋体"/>
        </w:rPr>
        <w:fldChar w:fldCharType="separate"/>
      </w:r>
      <w:r>
        <w:rPr>
          <w:rFonts w:hint="eastAsia" w:ascii="宋体" w:hAnsi="宋体" w:eastAsia="宋体"/>
          <w:szCs w:val="21"/>
        </w:rPr>
        <w:t xml:space="preserve">6 </w:t>
      </w:r>
      <w:r>
        <w:rPr>
          <w:rFonts w:ascii="宋体" w:hAnsi="宋体" w:eastAsia="宋体"/>
          <w:szCs w:val="21"/>
        </w:rPr>
        <w:t>招标文件的异议</w:t>
      </w:r>
      <w:r>
        <w:rPr>
          <w:rFonts w:hint="eastAsia" w:ascii="宋体" w:hAnsi="宋体" w:eastAsia="宋体"/>
          <w:szCs w:val="21"/>
        </w:rPr>
        <w:t>、</w:t>
      </w:r>
      <w:r>
        <w:rPr>
          <w:rFonts w:ascii="宋体" w:hAnsi="宋体" w:eastAsia="宋体"/>
          <w:szCs w:val="21"/>
        </w:rPr>
        <w:t>澄清</w:t>
      </w:r>
      <w:r>
        <w:tab/>
      </w:r>
      <w:r>
        <w:fldChar w:fldCharType="begin"/>
      </w:r>
      <w:r>
        <w:instrText xml:space="preserve"> PAGEREF _Toc21045 \h </w:instrText>
      </w:r>
      <w:r>
        <w:fldChar w:fldCharType="separate"/>
      </w:r>
      <w:r>
        <w:t>22</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_Toc32155 </w:instrText>
      </w:r>
      <w:r>
        <w:rPr>
          <w:rFonts w:ascii="宋体" w:hAnsi="宋体"/>
        </w:rPr>
        <w:fldChar w:fldCharType="separate"/>
      </w:r>
      <w:r>
        <w:rPr>
          <w:rFonts w:hint="eastAsia" w:ascii="宋体" w:hAnsi="宋体" w:eastAsia="宋体"/>
          <w:szCs w:val="21"/>
        </w:rPr>
        <w:t xml:space="preserve">7 </w:t>
      </w:r>
      <w:r>
        <w:rPr>
          <w:rFonts w:ascii="宋体" w:hAnsi="宋体" w:eastAsia="宋体"/>
          <w:szCs w:val="21"/>
        </w:rPr>
        <w:t>招标文件的修改</w:t>
      </w:r>
      <w:r>
        <w:tab/>
      </w:r>
      <w:r>
        <w:fldChar w:fldCharType="begin"/>
      </w:r>
      <w:r>
        <w:instrText xml:space="preserve"> PAGEREF _Toc32155 \h </w:instrText>
      </w:r>
      <w:r>
        <w:fldChar w:fldCharType="separate"/>
      </w:r>
      <w:r>
        <w:t>22</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_Toc30646 </w:instrText>
      </w:r>
      <w:r>
        <w:rPr>
          <w:rFonts w:ascii="宋体" w:hAnsi="宋体"/>
        </w:rPr>
        <w:fldChar w:fldCharType="separate"/>
      </w:r>
      <w:r>
        <w:rPr>
          <w:rFonts w:hint="eastAsia" w:ascii="宋体" w:hAnsi="宋体" w:eastAsia="宋体"/>
        </w:rPr>
        <w:t>第</w:t>
      </w:r>
      <w:r>
        <w:rPr>
          <w:rFonts w:ascii="宋体" w:hAnsi="宋体" w:eastAsia="宋体"/>
        </w:rPr>
        <w:t>三</w:t>
      </w:r>
      <w:r>
        <w:rPr>
          <w:rFonts w:hint="eastAsia" w:ascii="宋体" w:hAnsi="宋体" w:eastAsia="宋体"/>
        </w:rPr>
        <w:t xml:space="preserve">节  </w:t>
      </w:r>
      <w:r>
        <w:rPr>
          <w:rFonts w:ascii="宋体" w:hAnsi="宋体" w:eastAsia="宋体"/>
        </w:rPr>
        <w:t>投标文件的编写</w:t>
      </w:r>
      <w:r>
        <w:tab/>
      </w:r>
      <w:r>
        <w:fldChar w:fldCharType="begin"/>
      </w:r>
      <w:r>
        <w:instrText xml:space="preserve"> PAGEREF _Toc30646 \h </w:instrText>
      </w:r>
      <w:r>
        <w:fldChar w:fldCharType="separate"/>
      </w:r>
      <w:r>
        <w:t>23</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_Toc1516 </w:instrText>
      </w:r>
      <w:r>
        <w:rPr>
          <w:rFonts w:ascii="宋体" w:hAnsi="宋体"/>
        </w:rPr>
        <w:fldChar w:fldCharType="separate"/>
      </w:r>
      <w:r>
        <w:rPr>
          <w:rFonts w:hint="eastAsia" w:ascii="宋体" w:hAnsi="宋体" w:eastAsia="宋体"/>
          <w:szCs w:val="21"/>
        </w:rPr>
        <w:t xml:space="preserve">8 </w:t>
      </w:r>
      <w:r>
        <w:rPr>
          <w:rFonts w:ascii="宋体" w:hAnsi="宋体" w:eastAsia="宋体"/>
          <w:szCs w:val="21"/>
        </w:rPr>
        <w:t>要求</w:t>
      </w:r>
      <w:r>
        <w:tab/>
      </w:r>
      <w:r>
        <w:fldChar w:fldCharType="begin"/>
      </w:r>
      <w:r>
        <w:instrText xml:space="preserve"> PAGEREF _Toc1516 \h </w:instrText>
      </w:r>
      <w:r>
        <w:fldChar w:fldCharType="separate"/>
      </w:r>
      <w:r>
        <w:t>23</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_Toc20838 </w:instrText>
      </w:r>
      <w:r>
        <w:rPr>
          <w:rFonts w:ascii="宋体" w:hAnsi="宋体"/>
        </w:rPr>
        <w:fldChar w:fldCharType="separate"/>
      </w:r>
      <w:r>
        <w:rPr>
          <w:rFonts w:hint="eastAsia" w:ascii="宋体" w:hAnsi="宋体" w:eastAsia="宋体"/>
          <w:szCs w:val="21"/>
        </w:rPr>
        <w:t xml:space="preserve">9 </w:t>
      </w:r>
      <w:r>
        <w:rPr>
          <w:rFonts w:ascii="宋体" w:hAnsi="宋体" w:eastAsia="宋体"/>
          <w:szCs w:val="21"/>
        </w:rPr>
        <w:t>投标文件语言</w:t>
      </w:r>
      <w:r>
        <w:tab/>
      </w:r>
      <w:r>
        <w:fldChar w:fldCharType="begin"/>
      </w:r>
      <w:r>
        <w:instrText xml:space="preserve"> PAGEREF _Toc20838 \h </w:instrText>
      </w:r>
      <w:r>
        <w:fldChar w:fldCharType="separate"/>
      </w:r>
      <w:r>
        <w:t>23</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_Toc2456 </w:instrText>
      </w:r>
      <w:r>
        <w:rPr>
          <w:rFonts w:ascii="宋体" w:hAnsi="宋体"/>
        </w:rPr>
        <w:fldChar w:fldCharType="separate"/>
      </w:r>
      <w:r>
        <w:rPr>
          <w:rFonts w:hint="eastAsia" w:ascii="宋体" w:hAnsi="宋体" w:eastAsia="宋体"/>
          <w:szCs w:val="21"/>
        </w:rPr>
        <w:t xml:space="preserve">10 </w:t>
      </w:r>
      <w:r>
        <w:rPr>
          <w:rFonts w:ascii="宋体" w:hAnsi="宋体" w:eastAsia="宋体"/>
          <w:szCs w:val="21"/>
        </w:rPr>
        <w:t>投标文件的组成</w:t>
      </w:r>
      <w:r>
        <w:tab/>
      </w:r>
      <w:r>
        <w:fldChar w:fldCharType="begin"/>
      </w:r>
      <w:r>
        <w:instrText xml:space="preserve"> PAGEREF _Toc2456 \h </w:instrText>
      </w:r>
      <w:r>
        <w:fldChar w:fldCharType="separate"/>
      </w:r>
      <w:r>
        <w:t>24</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_Toc23121 </w:instrText>
      </w:r>
      <w:r>
        <w:rPr>
          <w:rFonts w:ascii="宋体" w:hAnsi="宋体"/>
        </w:rPr>
        <w:fldChar w:fldCharType="separate"/>
      </w:r>
      <w:r>
        <w:rPr>
          <w:rFonts w:hint="eastAsia" w:ascii="宋体" w:hAnsi="宋体" w:eastAsia="宋体"/>
          <w:szCs w:val="21"/>
        </w:rPr>
        <w:t xml:space="preserve">11 </w:t>
      </w:r>
      <w:r>
        <w:rPr>
          <w:rFonts w:ascii="宋体" w:hAnsi="宋体" w:eastAsia="宋体"/>
          <w:szCs w:val="21"/>
        </w:rPr>
        <w:t>投标有效期</w:t>
      </w:r>
      <w:r>
        <w:tab/>
      </w:r>
      <w:r>
        <w:fldChar w:fldCharType="begin"/>
      </w:r>
      <w:r>
        <w:instrText xml:space="preserve"> PAGEREF _Toc23121 \h </w:instrText>
      </w:r>
      <w:r>
        <w:fldChar w:fldCharType="separate"/>
      </w:r>
      <w:r>
        <w:t>24</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_Toc24748 </w:instrText>
      </w:r>
      <w:r>
        <w:rPr>
          <w:rFonts w:ascii="宋体" w:hAnsi="宋体"/>
        </w:rPr>
        <w:fldChar w:fldCharType="separate"/>
      </w:r>
      <w:r>
        <w:rPr>
          <w:rFonts w:hint="eastAsia" w:ascii="宋体" w:hAnsi="宋体" w:eastAsia="宋体"/>
          <w:szCs w:val="21"/>
        </w:rPr>
        <w:t xml:space="preserve">12 </w:t>
      </w:r>
      <w:r>
        <w:rPr>
          <w:rFonts w:ascii="宋体" w:hAnsi="宋体" w:eastAsia="宋体"/>
          <w:szCs w:val="21"/>
        </w:rPr>
        <w:t>投标保证金</w:t>
      </w:r>
      <w:r>
        <w:rPr>
          <w:rFonts w:hint="eastAsia" w:ascii="宋体" w:hAnsi="宋体" w:eastAsia="宋体"/>
          <w:szCs w:val="21"/>
        </w:rPr>
        <w:t>及招标代理服务费</w:t>
      </w:r>
      <w:r>
        <w:tab/>
      </w:r>
      <w:r>
        <w:fldChar w:fldCharType="begin"/>
      </w:r>
      <w:r>
        <w:instrText xml:space="preserve"> PAGEREF _Toc24748 \h </w:instrText>
      </w:r>
      <w:r>
        <w:fldChar w:fldCharType="separate"/>
      </w:r>
      <w:r>
        <w:t>25</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_Toc30396 </w:instrText>
      </w:r>
      <w:r>
        <w:rPr>
          <w:rFonts w:ascii="宋体" w:hAnsi="宋体"/>
        </w:rPr>
        <w:fldChar w:fldCharType="separate"/>
      </w:r>
      <w:r>
        <w:rPr>
          <w:rFonts w:hint="eastAsia" w:ascii="宋体" w:hAnsi="宋体" w:eastAsia="宋体"/>
          <w:szCs w:val="21"/>
        </w:rPr>
        <w:t xml:space="preserve">13 </w:t>
      </w:r>
      <w:r>
        <w:rPr>
          <w:rFonts w:ascii="宋体" w:hAnsi="宋体" w:eastAsia="宋体"/>
          <w:szCs w:val="21"/>
        </w:rPr>
        <w:t>投标文件的格式</w:t>
      </w:r>
      <w:r>
        <w:tab/>
      </w:r>
      <w:r>
        <w:fldChar w:fldCharType="begin"/>
      </w:r>
      <w:r>
        <w:instrText xml:space="preserve"> PAGEREF _Toc30396 \h </w:instrText>
      </w:r>
      <w:r>
        <w:fldChar w:fldCharType="separate"/>
      </w:r>
      <w:r>
        <w:t>26</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_Toc16663 </w:instrText>
      </w:r>
      <w:r>
        <w:rPr>
          <w:rFonts w:ascii="宋体" w:hAnsi="宋体"/>
        </w:rPr>
        <w:fldChar w:fldCharType="separate"/>
      </w:r>
      <w:r>
        <w:rPr>
          <w:rFonts w:hint="eastAsia" w:ascii="宋体" w:hAnsi="宋体" w:eastAsia="宋体"/>
        </w:rPr>
        <w:t>第</w:t>
      </w:r>
      <w:r>
        <w:rPr>
          <w:rFonts w:ascii="宋体" w:hAnsi="宋体" w:eastAsia="宋体"/>
        </w:rPr>
        <w:t>四</w:t>
      </w:r>
      <w:r>
        <w:rPr>
          <w:rFonts w:hint="eastAsia" w:ascii="宋体" w:hAnsi="宋体" w:eastAsia="宋体"/>
        </w:rPr>
        <w:t xml:space="preserve">节  </w:t>
      </w:r>
      <w:r>
        <w:rPr>
          <w:rFonts w:ascii="宋体" w:hAnsi="宋体" w:eastAsia="宋体"/>
        </w:rPr>
        <w:t>投标文件的提交</w:t>
      </w:r>
      <w:r>
        <w:tab/>
      </w:r>
      <w:r>
        <w:fldChar w:fldCharType="begin"/>
      </w:r>
      <w:r>
        <w:instrText xml:space="preserve"> PAGEREF _Toc16663 \h </w:instrText>
      </w:r>
      <w:r>
        <w:fldChar w:fldCharType="separate"/>
      </w:r>
      <w:r>
        <w:t>27</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_Toc25744 </w:instrText>
      </w:r>
      <w:r>
        <w:rPr>
          <w:rFonts w:ascii="宋体" w:hAnsi="宋体"/>
        </w:rPr>
        <w:fldChar w:fldCharType="separate"/>
      </w:r>
      <w:r>
        <w:rPr>
          <w:rFonts w:hint="eastAsia" w:ascii="宋体" w:hAnsi="宋体" w:eastAsia="宋体"/>
          <w:szCs w:val="21"/>
        </w:rPr>
        <w:t xml:space="preserve">14 </w:t>
      </w:r>
      <w:r>
        <w:rPr>
          <w:rFonts w:ascii="宋体" w:hAnsi="宋体" w:eastAsia="宋体"/>
          <w:szCs w:val="21"/>
        </w:rPr>
        <w:t>投标文件的密封、标记和</w:t>
      </w:r>
      <w:r>
        <w:rPr>
          <w:rFonts w:hint="eastAsia" w:ascii="宋体" w:hAnsi="宋体" w:eastAsia="宋体"/>
          <w:szCs w:val="21"/>
        </w:rPr>
        <w:t>提</w:t>
      </w:r>
      <w:r>
        <w:rPr>
          <w:rFonts w:ascii="宋体" w:hAnsi="宋体" w:eastAsia="宋体"/>
          <w:szCs w:val="21"/>
        </w:rPr>
        <w:t>交</w:t>
      </w:r>
      <w:r>
        <w:tab/>
      </w:r>
      <w:r>
        <w:fldChar w:fldCharType="begin"/>
      </w:r>
      <w:r>
        <w:instrText xml:space="preserve"> PAGEREF _Toc25744 \h </w:instrText>
      </w:r>
      <w:r>
        <w:fldChar w:fldCharType="separate"/>
      </w:r>
      <w:r>
        <w:t>27</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_Toc14837 </w:instrText>
      </w:r>
      <w:r>
        <w:rPr>
          <w:rFonts w:ascii="宋体" w:hAnsi="宋体"/>
        </w:rPr>
        <w:fldChar w:fldCharType="separate"/>
      </w:r>
      <w:r>
        <w:rPr>
          <w:rFonts w:hint="eastAsia" w:ascii="宋体" w:hAnsi="宋体" w:eastAsia="宋体"/>
        </w:rPr>
        <w:t>第</w:t>
      </w:r>
      <w:r>
        <w:rPr>
          <w:rFonts w:ascii="宋体" w:hAnsi="宋体" w:eastAsia="宋体"/>
        </w:rPr>
        <w:t>五</w:t>
      </w:r>
      <w:r>
        <w:rPr>
          <w:rFonts w:hint="eastAsia" w:ascii="宋体" w:hAnsi="宋体" w:eastAsia="宋体"/>
        </w:rPr>
        <w:t xml:space="preserve">节  </w:t>
      </w:r>
      <w:r>
        <w:rPr>
          <w:rFonts w:ascii="宋体" w:hAnsi="宋体" w:eastAsia="宋体"/>
        </w:rPr>
        <w:t>投标文件的评估和比较</w:t>
      </w:r>
      <w:r>
        <w:tab/>
      </w:r>
      <w:r>
        <w:fldChar w:fldCharType="begin"/>
      </w:r>
      <w:r>
        <w:instrText xml:space="preserve"> PAGEREF _Toc14837 \h </w:instrText>
      </w:r>
      <w:r>
        <w:fldChar w:fldCharType="separate"/>
      </w:r>
      <w:r>
        <w:t>28</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_Toc25609 </w:instrText>
      </w:r>
      <w:r>
        <w:rPr>
          <w:rFonts w:ascii="宋体" w:hAnsi="宋体"/>
        </w:rPr>
        <w:fldChar w:fldCharType="separate"/>
      </w:r>
      <w:r>
        <w:rPr>
          <w:rFonts w:hint="eastAsia" w:ascii="宋体" w:hAnsi="宋体" w:eastAsia="宋体"/>
          <w:szCs w:val="21"/>
        </w:rPr>
        <w:t xml:space="preserve">15 </w:t>
      </w:r>
      <w:r>
        <w:rPr>
          <w:rFonts w:ascii="宋体" w:hAnsi="宋体" w:eastAsia="宋体"/>
          <w:szCs w:val="21"/>
        </w:rPr>
        <w:t>开标、评标时间</w:t>
      </w:r>
      <w:r>
        <w:tab/>
      </w:r>
      <w:r>
        <w:fldChar w:fldCharType="begin"/>
      </w:r>
      <w:r>
        <w:instrText xml:space="preserve"> PAGEREF _Toc25609 \h </w:instrText>
      </w:r>
      <w:r>
        <w:fldChar w:fldCharType="separate"/>
      </w:r>
      <w:r>
        <w:t>28</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_Toc27122 </w:instrText>
      </w:r>
      <w:r>
        <w:rPr>
          <w:rFonts w:ascii="宋体" w:hAnsi="宋体"/>
        </w:rPr>
        <w:fldChar w:fldCharType="separate"/>
      </w:r>
      <w:r>
        <w:rPr>
          <w:rFonts w:hint="eastAsia" w:ascii="宋体" w:hAnsi="宋体" w:eastAsia="宋体"/>
          <w:szCs w:val="21"/>
        </w:rPr>
        <w:t xml:space="preserve">16 </w:t>
      </w:r>
      <w:r>
        <w:rPr>
          <w:rFonts w:ascii="宋体" w:hAnsi="宋体" w:eastAsia="宋体"/>
          <w:szCs w:val="21"/>
        </w:rPr>
        <w:t>评标委员会</w:t>
      </w:r>
      <w:r>
        <w:tab/>
      </w:r>
      <w:r>
        <w:fldChar w:fldCharType="begin"/>
      </w:r>
      <w:r>
        <w:instrText xml:space="preserve"> PAGEREF _Toc27122 \h </w:instrText>
      </w:r>
      <w:r>
        <w:fldChar w:fldCharType="separate"/>
      </w:r>
      <w:r>
        <w:t>28</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_Toc763 </w:instrText>
      </w:r>
      <w:r>
        <w:rPr>
          <w:rFonts w:ascii="宋体" w:hAnsi="宋体"/>
        </w:rPr>
        <w:fldChar w:fldCharType="separate"/>
      </w:r>
      <w:r>
        <w:rPr>
          <w:rFonts w:hint="eastAsia" w:ascii="宋体" w:hAnsi="宋体" w:eastAsia="宋体"/>
          <w:szCs w:val="21"/>
        </w:rPr>
        <w:t xml:space="preserve">17 </w:t>
      </w:r>
      <w:r>
        <w:rPr>
          <w:rFonts w:ascii="宋体" w:hAnsi="宋体" w:eastAsia="宋体"/>
          <w:szCs w:val="21"/>
        </w:rPr>
        <w:t>投标文件的初审</w:t>
      </w:r>
      <w:r>
        <w:tab/>
      </w:r>
      <w:r>
        <w:fldChar w:fldCharType="begin"/>
      </w:r>
      <w:r>
        <w:instrText xml:space="preserve"> PAGEREF _Toc763 \h </w:instrText>
      </w:r>
      <w:r>
        <w:fldChar w:fldCharType="separate"/>
      </w:r>
      <w:r>
        <w:t>28</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_Toc20995 </w:instrText>
      </w:r>
      <w:r>
        <w:rPr>
          <w:rFonts w:ascii="宋体" w:hAnsi="宋体"/>
        </w:rPr>
        <w:fldChar w:fldCharType="separate"/>
      </w:r>
      <w:r>
        <w:rPr>
          <w:rFonts w:hint="eastAsia" w:ascii="宋体" w:hAnsi="宋体" w:eastAsia="宋体"/>
          <w:szCs w:val="21"/>
        </w:rPr>
        <w:t xml:space="preserve">18 </w:t>
      </w:r>
      <w:r>
        <w:rPr>
          <w:rFonts w:ascii="宋体" w:hAnsi="宋体" w:eastAsia="宋体"/>
          <w:szCs w:val="21"/>
        </w:rPr>
        <w:t>投标文件的澄清</w:t>
      </w:r>
      <w:r>
        <w:tab/>
      </w:r>
      <w:r>
        <w:fldChar w:fldCharType="begin"/>
      </w:r>
      <w:r>
        <w:instrText xml:space="preserve"> PAGEREF _Toc20995 \h </w:instrText>
      </w:r>
      <w:r>
        <w:fldChar w:fldCharType="separate"/>
      </w:r>
      <w:r>
        <w:t>30</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_Toc1838 </w:instrText>
      </w:r>
      <w:r>
        <w:rPr>
          <w:rFonts w:ascii="宋体" w:hAnsi="宋体"/>
        </w:rPr>
        <w:fldChar w:fldCharType="separate"/>
      </w:r>
      <w:r>
        <w:rPr>
          <w:rFonts w:hint="eastAsia" w:ascii="宋体" w:hAnsi="宋体" w:eastAsia="宋体"/>
          <w:szCs w:val="21"/>
        </w:rPr>
        <w:t xml:space="preserve">19 </w:t>
      </w:r>
      <w:r>
        <w:rPr>
          <w:rFonts w:ascii="宋体" w:hAnsi="宋体" w:eastAsia="宋体"/>
          <w:szCs w:val="21"/>
        </w:rPr>
        <w:t>比较与评价</w:t>
      </w:r>
      <w:r>
        <w:tab/>
      </w:r>
      <w:r>
        <w:fldChar w:fldCharType="begin"/>
      </w:r>
      <w:r>
        <w:instrText xml:space="preserve"> PAGEREF _Toc1838 \h </w:instrText>
      </w:r>
      <w:r>
        <w:fldChar w:fldCharType="separate"/>
      </w:r>
      <w:r>
        <w:t>30</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_Toc28373 </w:instrText>
      </w:r>
      <w:r>
        <w:rPr>
          <w:rFonts w:ascii="宋体" w:hAnsi="宋体"/>
        </w:rPr>
        <w:fldChar w:fldCharType="separate"/>
      </w:r>
      <w:r>
        <w:rPr>
          <w:rFonts w:hint="eastAsia" w:ascii="宋体" w:hAnsi="宋体" w:eastAsia="宋体"/>
        </w:rPr>
        <w:t>第</w:t>
      </w:r>
      <w:r>
        <w:rPr>
          <w:rFonts w:ascii="宋体" w:hAnsi="宋体" w:eastAsia="宋体"/>
        </w:rPr>
        <w:t>六</w:t>
      </w:r>
      <w:r>
        <w:rPr>
          <w:rFonts w:hint="eastAsia" w:ascii="宋体" w:hAnsi="宋体" w:eastAsia="宋体"/>
        </w:rPr>
        <w:t xml:space="preserve">节  </w:t>
      </w:r>
      <w:r>
        <w:rPr>
          <w:rFonts w:ascii="宋体" w:hAnsi="宋体" w:eastAsia="宋体"/>
        </w:rPr>
        <w:t>定标与签订合同</w:t>
      </w:r>
      <w:r>
        <w:tab/>
      </w:r>
      <w:r>
        <w:fldChar w:fldCharType="begin"/>
      </w:r>
      <w:r>
        <w:instrText xml:space="preserve"> PAGEREF _Toc28373 \h </w:instrText>
      </w:r>
      <w:r>
        <w:fldChar w:fldCharType="separate"/>
      </w:r>
      <w:r>
        <w:t>31</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_Toc6298 </w:instrText>
      </w:r>
      <w:r>
        <w:rPr>
          <w:rFonts w:ascii="宋体" w:hAnsi="宋体"/>
        </w:rPr>
        <w:fldChar w:fldCharType="separate"/>
      </w:r>
      <w:r>
        <w:rPr>
          <w:rFonts w:hint="eastAsia" w:ascii="宋体" w:hAnsi="宋体" w:eastAsia="宋体"/>
          <w:szCs w:val="21"/>
        </w:rPr>
        <w:t xml:space="preserve">20 </w:t>
      </w:r>
      <w:r>
        <w:rPr>
          <w:rFonts w:ascii="宋体" w:hAnsi="宋体" w:eastAsia="宋体"/>
          <w:szCs w:val="21"/>
        </w:rPr>
        <w:t>定标准则</w:t>
      </w:r>
      <w:r>
        <w:tab/>
      </w:r>
      <w:r>
        <w:fldChar w:fldCharType="begin"/>
      </w:r>
      <w:r>
        <w:instrText xml:space="preserve"> PAGEREF _Toc6298 \h </w:instrText>
      </w:r>
      <w:r>
        <w:fldChar w:fldCharType="separate"/>
      </w:r>
      <w:r>
        <w:t>31</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_Toc22159 </w:instrText>
      </w:r>
      <w:r>
        <w:rPr>
          <w:rFonts w:ascii="宋体" w:hAnsi="宋体"/>
        </w:rPr>
        <w:fldChar w:fldCharType="separate"/>
      </w:r>
      <w:r>
        <w:rPr>
          <w:rFonts w:hint="eastAsia" w:ascii="宋体" w:hAnsi="宋体" w:eastAsia="宋体"/>
          <w:szCs w:val="21"/>
        </w:rPr>
        <w:t xml:space="preserve">21 </w:t>
      </w:r>
      <w:r>
        <w:rPr>
          <w:rFonts w:ascii="宋体" w:hAnsi="宋体" w:eastAsia="宋体"/>
          <w:szCs w:val="21"/>
        </w:rPr>
        <w:t>中标通知</w:t>
      </w:r>
      <w:r>
        <w:tab/>
      </w:r>
      <w:r>
        <w:fldChar w:fldCharType="begin"/>
      </w:r>
      <w:r>
        <w:instrText xml:space="preserve"> PAGEREF _Toc22159 \h </w:instrText>
      </w:r>
      <w:r>
        <w:fldChar w:fldCharType="separate"/>
      </w:r>
      <w:r>
        <w:t>31</w:t>
      </w:r>
      <w:r>
        <w:fldChar w:fldCharType="end"/>
      </w:r>
      <w:r>
        <w:rPr>
          <w:rFonts w:ascii="宋体" w:hAnsi="宋体"/>
          <w:color w:val="auto"/>
        </w:rPr>
        <w:fldChar w:fldCharType="end"/>
      </w:r>
    </w:p>
    <w:p>
      <w:pPr>
        <w:pStyle w:val="21"/>
        <w:tabs>
          <w:tab w:val="right" w:leader="dot" w:pos="8730"/>
        </w:tabs>
      </w:pPr>
      <w:r>
        <w:rPr>
          <w:rFonts w:ascii="宋体" w:hAnsi="宋体"/>
          <w:color w:val="auto"/>
        </w:rPr>
        <w:fldChar w:fldCharType="begin"/>
      </w:r>
      <w:r>
        <w:rPr>
          <w:rFonts w:ascii="宋体" w:hAnsi="宋体"/>
        </w:rPr>
        <w:instrText xml:space="preserve"> HYPERLINK \l _Toc4751 </w:instrText>
      </w:r>
      <w:r>
        <w:rPr>
          <w:rFonts w:ascii="宋体" w:hAnsi="宋体"/>
        </w:rPr>
        <w:fldChar w:fldCharType="separate"/>
      </w:r>
      <w:r>
        <w:rPr>
          <w:rFonts w:hint="eastAsia" w:ascii="宋体" w:hAnsi="宋体" w:eastAsia="宋体"/>
          <w:szCs w:val="21"/>
        </w:rPr>
        <w:t xml:space="preserve">22 </w:t>
      </w:r>
      <w:r>
        <w:rPr>
          <w:rFonts w:ascii="宋体" w:hAnsi="宋体" w:eastAsia="宋体"/>
          <w:szCs w:val="21"/>
        </w:rPr>
        <w:t>签订合同</w:t>
      </w:r>
      <w:r>
        <w:tab/>
      </w:r>
      <w:r>
        <w:fldChar w:fldCharType="begin"/>
      </w:r>
      <w:r>
        <w:instrText xml:space="preserve"> PAGEREF _Toc4751 \h </w:instrText>
      </w:r>
      <w:r>
        <w:fldChar w:fldCharType="separate"/>
      </w:r>
      <w:r>
        <w:t>31</w:t>
      </w:r>
      <w:r>
        <w:fldChar w:fldCharType="end"/>
      </w:r>
      <w:r>
        <w:rPr>
          <w:rFonts w:ascii="宋体" w:hAnsi="宋体"/>
          <w:color w:val="auto"/>
        </w:rPr>
        <w:fldChar w:fldCharType="end"/>
      </w:r>
    </w:p>
    <w:p>
      <w:pPr>
        <w:pStyle w:val="29"/>
        <w:tabs>
          <w:tab w:val="right" w:leader="dot" w:pos="8730"/>
        </w:tabs>
      </w:pPr>
      <w:r>
        <w:rPr>
          <w:rFonts w:ascii="宋体" w:hAnsi="宋体"/>
          <w:color w:val="auto"/>
        </w:rPr>
        <w:fldChar w:fldCharType="begin"/>
      </w:r>
      <w:r>
        <w:rPr>
          <w:rFonts w:ascii="宋体" w:hAnsi="宋体"/>
        </w:rPr>
        <w:instrText xml:space="preserve"> HYPERLINK \l _Toc17895 </w:instrText>
      </w:r>
      <w:r>
        <w:rPr>
          <w:rFonts w:ascii="宋体" w:hAnsi="宋体"/>
        </w:rPr>
        <w:fldChar w:fldCharType="separate"/>
      </w:r>
      <w:r>
        <w:rPr>
          <w:rFonts w:hint="eastAsia" w:ascii="宋体" w:hAnsi="宋体" w:eastAsia="宋体" w:cs="宋体"/>
          <w:highlight w:val="none"/>
        </w:rPr>
        <w:t>第三章　招标内容及要求</w:t>
      </w:r>
      <w:r>
        <w:tab/>
      </w:r>
      <w:r>
        <w:fldChar w:fldCharType="begin"/>
      </w:r>
      <w:r>
        <w:instrText xml:space="preserve"> PAGEREF _Toc17895 \h </w:instrText>
      </w:r>
      <w:r>
        <w:fldChar w:fldCharType="separate"/>
      </w:r>
      <w:r>
        <w:t>33</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_Toc23305 </w:instrText>
      </w:r>
      <w:r>
        <w:rPr>
          <w:rFonts w:ascii="宋体" w:hAnsi="宋体"/>
        </w:rPr>
        <w:fldChar w:fldCharType="separate"/>
      </w:r>
      <w:r>
        <w:rPr>
          <w:rFonts w:hint="eastAsia" w:ascii="宋体" w:hAnsi="宋体" w:eastAsia="宋体" w:cs="宋体"/>
          <w:lang w:val="en-US" w:eastAsia="zh-CN"/>
        </w:rPr>
        <w:t>1.</w:t>
      </w:r>
      <w:r>
        <w:rPr>
          <w:rFonts w:hint="eastAsia" w:ascii="宋体" w:hAnsi="宋体" w:eastAsia="宋体" w:cs="宋体"/>
        </w:rPr>
        <w:t>维护保养标准及内容</w:t>
      </w:r>
      <w:r>
        <w:tab/>
      </w:r>
      <w:r>
        <w:fldChar w:fldCharType="begin"/>
      </w:r>
      <w:r>
        <w:instrText xml:space="preserve"> PAGEREF _Toc23305 \h </w:instrText>
      </w:r>
      <w:r>
        <w:fldChar w:fldCharType="separate"/>
      </w:r>
      <w:r>
        <w:t>35</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_Toc7830 </w:instrText>
      </w:r>
      <w:r>
        <w:rPr>
          <w:rFonts w:ascii="宋体" w:hAnsi="宋体"/>
        </w:rPr>
        <w:fldChar w:fldCharType="separate"/>
      </w:r>
      <w:r>
        <w:rPr>
          <w:rFonts w:hint="eastAsia" w:ascii="宋体" w:hAnsi="宋体" w:eastAsia="宋体" w:cs="宋体"/>
        </w:rPr>
        <w:t>2 服务响应要求</w:t>
      </w:r>
      <w:r>
        <w:tab/>
      </w:r>
      <w:r>
        <w:fldChar w:fldCharType="begin"/>
      </w:r>
      <w:r>
        <w:instrText xml:space="preserve"> PAGEREF _Toc7830 \h </w:instrText>
      </w:r>
      <w:r>
        <w:fldChar w:fldCharType="separate"/>
      </w:r>
      <w:r>
        <w:t>44</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_Toc22980 </w:instrText>
      </w:r>
      <w:r>
        <w:rPr>
          <w:rFonts w:ascii="宋体" w:hAnsi="宋体"/>
        </w:rPr>
        <w:fldChar w:fldCharType="separate"/>
      </w:r>
      <w:r>
        <w:rPr>
          <w:rFonts w:hint="eastAsia" w:ascii="宋体" w:hAnsi="宋体" w:eastAsia="宋体" w:cs="宋体"/>
        </w:rPr>
        <w:t>3 服务期限</w:t>
      </w:r>
      <w:r>
        <w:tab/>
      </w:r>
      <w:r>
        <w:fldChar w:fldCharType="begin"/>
      </w:r>
      <w:r>
        <w:instrText xml:space="preserve"> PAGEREF _Toc22980 \h </w:instrText>
      </w:r>
      <w:r>
        <w:fldChar w:fldCharType="separate"/>
      </w:r>
      <w:r>
        <w:t>46</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_Toc10924 </w:instrText>
      </w:r>
      <w:r>
        <w:rPr>
          <w:rFonts w:ascii="宋体" w:hAnsi="宋体"/>
        </w:rPr>
        <w:fldChar w:fldCharType="separate"/>
      </w:r>
      <w:r>
        <w:rPr>
          <w:rFonts w:hint="eastAsia" w:ascii="宋体" w:hAnsi="宋体" w:eastAsia="宋体" w:cs="宋体"/>
        </w:rPr>
        <w:t>4 验收要求</w:t>
      </w:r>
      <w:r>
        <w:tab/>
      </w:r>
      <w:r>
        <w:fldChar w:fldCharType="begin"/>
      </w:r>
      <w:r>
        <w:instrText xml:space="preserve"> PAGEREF _Toc10924 \h </w:instrText>
      </w:r>
      <w:r>
        <w:fldChar w:fldCharType="separate"/>
      </w:r>
      <w:r>
        <w:t>46</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_Toc13515 </w:instrText>
      </w:r>
      <w:r>
        <w:rPr>
          <w:rFonts w:ascii="宋体" w:hAnsi="宋体"/>
        </w:rPr>
        <w:fldChar w:fldCharType="separate"/>
      </w:r>
      <w:r>
        <w:rPr>
          <w:rFonts w:hint="eastAsia" w:ascii="宋体" w:hAnsi="宋体" w:eastAsia="宋体" w:cs="宋体"/>
        </w:rPr>
        <w:t>5 资格要求</w:t>
      </w:r>
      <w:r>
        <w:tab/>
      </w:r>
      <w:r>
        <w:fldChar w:fldCharType="begin"/>
      </w:r>
      <w:r>
        <w:instrText xml:space="preserve"> PAGEREF _Toc13515 \h </w:instrText>
      </w:r>
      <w:r>
        <w:fldChar w:fldCharType="separate"/>
      </w:r>
      <w:r>
        <w:t>46</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_Toc21339 </w:instrText>
      </w:r>
      <w:r>
        <w:rPr>
          <w:rFonts w:ascii="宋体" w:hAnsi="宋体"/>
        </w:rPr>
        <w:fldChar w:fldCharType="separate"/>
      </w:r>
      <w:r>
        <w:rPr>
          <w:rFonts w:hint="eastAsia" w:ascii="宋体" w:hAnsi="宋体" w:eastAsia="宋体" w:cs="宋体"/>
        </w:rPr>
        <w:t>6 踏勘现场</w:t>
      </w:r>
      <w:r>
        <w:tab/>
      </w:r>
      <w:r>
        <w:fldChar w:fldCharType="begin"/>
      </w:r>
      <w:r>
        <w:instrText xml:space="preserve"> PAGEREF _Toc21339 \h </w:instrText>
      </w:r>
      <w:r>
        <w:fldChar w:fldCharType="separate"/>
      </w:r>
      <w:r>
        <w:t>47</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_Toc26258 </w:instrText>
      </w:r>
      <w:r>
        <w:rPr>
          <w:rFonts w:ascii="宋体" w:hAnsi="宋体"/>
        </w:rPr>
        <w:fldChar w:fldCharType="separate"/>
      </w:r>
      <w:r>
        <w:rPr>
          <w:rFonts w:hint="eastAsia" w:ascii="宋体" w:hAnsi="宋体" w:eastAsia="宋体" w:cs="宋体"/>
        </w:rPr>
        <w:t>7 报价要求</w:t>
      </w:r>
      <w:r>
        <w:tab/>
      </w:r>
      <w:r>
        <w:fldChar w:fldCharType="begin"/>
      </w:r>
      <w:r>
        <w:instrText xml:space="preserve"> PAGEREF _Toc26258 \h </w:instrText>
      </w:r>
      <w:r>
        <w:fldChar w:fldCharType="separate"/>
      </w:r>
      <w:r>
        <w:t>47</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_Toc12074 </w:instrText>
      </w:r>
      <w:r>
        <w:rPr>
          <w:rFonts w:ascii="宋体" w:hAnsi="宋体"/>
        </w:rPr>
        <w:fldChar w:fldCharType="separate"/>
      </w:r>
      <w:r>
        <w:rPr>
          <w:rFonts w:hint="eastAsia" w:ascii="宋体" w:hAnsi="宋体" w:eastAsia="宋体" w:cs="宋体"/>
        </w:rPr>
        <w:t>8 合同签订</w:t>
      </w:r>
      <w:r>
        <w:tab/>
      </w:r>
      <w:r>
        <w:fldChar w:fldCharType="begin"/>
      </w:r>
      <w:r>
        <w:instrText xml:space="preserve"> PAGEREF _Toc12074 \h </w:instrText>
      </w:r>
      <w:r>
        <w:fldChar w:fldCharType="separate"/>
      </w:r>
      <w:r>
        <w:t>47</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_Toc8672 </w:instrText>
      </w:r>
      <w:r>
        <w:rPr>
          <w:rFonts w:ascii="宋体" w:hAnsi="宋体"/>
        </w:rPr>
        <w:fldChar w:fldCharType="separate"/>
      </w:r>
      <w:r>
        <w:rPr>
          <w:rFonts w:hint="eastAsia" w:ascii="宋体" w:hAnsi="宋体" w:eastAsia="宋体" w:cs="宋体"/>
        </w:rPr>
        <w:t>9 付款方式</w:t>
      </w:r>
      <w:r>
        <w:tab/>
      </w:r>
      <w:r>
        <w:fldChar w:fldCharType="begin"/>
      </w:r>
      <w:r>
        <w:instrText xml:space="preserve"> PAGEREF _Toc8672 \h </w:instrText>
      </w:r>
      <w:r>
        <w:fldChar w:fldCharType="separate"/>
      </w:r>
      <w:r>
        <w:t>48</w:t>
      </w:r>
      <w:r>
        <w:fldChar w:fldCharType="end"/>
      </w:r>
      <w:r>
        <w:rPr>
          <w:rFonts w:ascii="宋体" w:hAnsi="宋体"/>
          <w:color w:val="auto"/>
        </w:rPr>
        <w:fldChar w:fldCharType="end"/>
      </w:r>
    </w:p>
    <w:p>
      <w:pPr>
        <w:pStyle w:val="34"/>
        <w:tabs>
          <w:tab w:val="right" w:leader="dot" w:pos="8730"/>
        </w:tabs>
      </w:pPr>
      <w:r>
        <w:rPr>
          <w:rFonts w:ascii="宋体" w:hAnsi="宋体"/>
          <w:color w:val="auto"/>
        </w:rPr>
        <w:fldChar w:fldCharType="begin"/>
      </w:r>
      <w:r>
        <w:rPr>
          <w:rFonts w:ascii="宋体" w:hAnsi="宋体"/>
        </w:rPr>
        <w:instrText xml:space="preserve"> HYPERLINK \l _Toc10927 </w:instrText>
      </w:r>
      <w:r>
        <w:rPr>
          <w:rFonts w:ascii="宋体" w:hAnsi="宋体"/>
        </w:rPr>
        <w:fldChar w:fldCharType="separate"/>
      </w:r>
      <w:r>
        <w:rPr>
          <w:rFonts w:hint="eastAsia" w:ascii="宋体" w:hAnsi="宋体" w:cs="宋体"/>
          <w:bCs/>
          <w:szCs w:val="32"/>
        </w:rPr>
        <w:t xml:space="preserve">11 </w:t>
      </w:r>
      <w:r>
        <w:rPr>
          <w:rFonts w:hint="eastAsia" w:ascii="宋体" w:hAnsi="宋体" w:eastAsia="宋体" w:cs="宋体"/>
        </w:rPr>
        <w:t>其他要求</w:t>
      </w:r>
      <w:r>
        <w:tab/>
      </w:r>
      <w:r>
        <w:fldChar w:fldCharType="begin"/>
      </w:r>
      <w:r>
        <w:instrText xml:space="preserve"> PAGEREF _Toc10927 \h </w:instrText>
      </w:r>
      <w:r>
        <w:fldChar w:fldCharType="separate"/>
      </w:r>
      <w:r>
        <w:t>48</w:t>
      </w:r>
      <w:r>
        <w:fldChar w:fldCharType="end"/>
      </w:r>
      <w:r>
        <w:rPr>
          <w:rFonts w:ascii="宋体" w:hAnsi="宋体"/>
          <w:color w:val="auto"/>
        </w:rPr>
        <w:fldChar w:fldCharType="end"/>
      </w:r>
    </w:p>
    <w:p>
      <w:pPr>
        <w:pStyle w:val="29"/>
        <w:tabs>
          <w:tab w:val="right" w:leader="dot" w:pos="8730"/>
        </w:tabs>
      </w:pPr>
      <w:r>
        <w:rPr>
          <w:rFonts w:ascii="宋体" w:hAnsi="宋体"/>
          <w:color w:val="auto"/>
        </w:rPr>
        <w:fldChar w:fldCharType="begin"/>
      </w:r>
      <w:r>
        <w:rPr>
          <w:rFonts w:ascii="宋体" w:hAnsi="宋体"/>
        </w:rPr>
        <w:instrText xml:space="preserve"> HYPERLINK \l _Toc23065 </w:instrText>
      </w:r>
      <w:r>
        <w:rPr>
          <w:rFonts w:ascii="宋体" w:hAnsi="宋体"/>
        </w:rPr>
        <w:fldChar w:fldCharType="separate"/>
      </w:r>
      <w:r>
        <w:rPr>
          <w:rFonts w:hint="eastAsia" w:ascii="宋体" w:hAnsi="宋体" w:cs="宋体"/>
        </w:rPr>
        <w:t>第四章  采购合同</w:t>
      </w:r>
      <w:r>
        <w:tab/>
      </w:r>
      <w:r>
        <w:fldChar w:fldCharType="begin"/>
      </w:r>
      <w:r>
        <w:instrText xml:space="preserve"> PAGEREF _Toc23065 \h </w:instrText>
      </w:r>
      <w:r>
        <w:fldChar w:fldCharType="separate"/>
      </w:r>
      <w:r>
        <w:t>50</w:t>
      </w:r>
      <w:r>
        <w:fldChar w:fldCharType="end"/>
      </w:r>
      <w:r>
        <w:rPr>
          <w:rFonts w:ascii="宋体" w:hAnsi="宋体"/>
          <w:color w:val="auto"/>
        </w:rPr>
        <w:fldChar w:fldCharType="end"/>
      </w:r>
    </w:p>
    <w:p>
      <w:pPr>
        <w:pStyle w:val="29"/>
        <w:tabs>
          <w:tab w:val="right" w:leader="dot" w:pos="8730"/>
        </w:tabs>
      </w:pPr>
      <w:r>
        <w:rPr>
          <w:rFonts w:ascii="宋体" w:hAnsi="宋体"/>
          <w:color w:val="auto"/>
        </w:rPr>
        <w:fldChar w:fldCharType="begin"/>
      </w:r>
      <w:r>
        <w:rPr>
          <w:rFonts w:ascii="宋体" w:hAnsi="宋体"/>
        </w:rPr>
        <w:instrText xml:space="preserve"> HYPERLINK \l _Toc26698 </w:instrText>
      </w:r>
      <w:r>
        <w:rPr>
          <w:rFonts w:ascii="宋体" w:hAnsi="宋体"/>
        </w:rPr>
        <w:fldChar w:fldCharType="separate"/>
      </w:r>
      <w:r>
        <w:rPr>
          <w:rFonts w:hint="eastAsia" w:ascii="宋体" w:hAnsi="宋体" w:eastAsia="宋体"/>
        </w:rPr>
        <w:t>第五章  投标文件格式</w:t>
      </w:r>
      <w:r>
        <w:tab/>
      </w:r>
      <w:r>
        <w:fldChar w:fldCharType="begin"/>
      </w:r>
      <w:r>
        <w:instrText xml:space="preserve"> PAGEREF _Toc26698 \h </w:instrText>
      </w:r>
      <w:r>
        <w:fldChar w:fldCharType="separate"/>
      </w:r>
      <w:r>
        <w:t>68</w:t>
      </w:r>
      <w:r>
        <w:fldChar w:fldCharType="end"/>
      </w:r>
      <w:r>
        <w:rPr>
          <w:rFonts w:ascii="宋体" w:hAnsi="宋体"/>
          <w:color w:val="auto"/>
        </w:rPr>
        <w:fldChar w:fldCharType="end"/>
      </w:r>
    </w:p>
    <w:p>
      <w:pPr>
        <w:rPr>
          <w:rFonts w:ascii="宋体" w:hAnsi="宋体"/>
          <w:color w:val="auto"/>
        </w:rPr>
      </w:pPr>
      <w:r>
        <w:rPr>
          <w:rFonts w:ascii="宋体" w:hAnsi="宋体"/>
          <w:color w:val="auto"/>
        </w:rPr>
        <w:fldChar w:fldCharType="end"/>
      </w:r>
    </w:p>
    <w:bookmarkEnd w:id="0"/>
    <w:bookmarkEnd w:id="1"/>
    <w:p>
      <w:pPr>
        <w:rPr>
          <w:rFonts w:hint="eastAsia"/>
          <w:color w:val="auto"/>
        </w:rPr>
      </w:pPr>
      <w:bookmarkStart w:id="7" w:name="_Toc398284531"/>
      <w:bookmarkStart w:id="8" w:name="_Toc398504587"/>
      <w:bookmarkStart w:id="9" w:name="_Toc51489303"/>
    </w:p>
    <w:p>
      <w:pPr>
        <w:rPr>
          <w:rFonts w:hint="eastAsia"/>
          <w:color w:val="auto"/>
        </w:rPr>
      </w:pPr>
    </w:p>
    <w:p>
      <w:pPr>
        <w:rPr>
          <w:rFonts w:hint="eastAsia" w:ascii="宋体" w:hAnsi="宋体" w:eastAsia="宋体"/>
          <w:color w:val="auto"/>
        </w:rPr>
      </w:pPr>
      <w:r>
        <w:rPr>
          <w:rFonts w:hint="eastAsia" w:ascii="宋体" w:hAnsi="宋体" w:eastAsia="宋体"/>
          <w:color w:val="auto"/>
        </w:rPr>
        <w:br w:type="page"/>
      </w:r>
    </w:p>
    <w:p>
      <w:pPr>
        <w:pStyle w:val="3"/>
        <w:spacing w:before="240" w:after="240" w:line="360" w:lineRule="auto"/>
        <w:jc w:val="center"/>
        <w:rPr>
          <w:rFonts w:ascii="宋体" w:hAnsi="宋体" w:eastAsia="宋体"/>
          <w:color w:val="auto"/>
        </w:rPr>
      </w:pPr>
      <w:bookmarkStart w:id="10" w:name="_Toc9798"/>
      <w:r>
        <w:rPr>
          <w:rFonts w:hint="eastAsia" w:ascii="宋体" w:hAnsi="宋体" w:eastAsia="宋体"/>
          <w:color w:val="auto"/>
        </w:rPr>
        <w:t>第一章　投标邀请</w:t>
      </w:r>
      <w:bookmarkEnd w:id="7"/>
      <w:bookmarkEnd w:id="8"/>
      <w:bookmarkEnd w:id="10"/>
    </w:p>
    <w:p>
      <w:pPr>
        <w:tabs>
          <w:tab w:val="left" w:pos="1080"/>
        </w:tabs>
        <w:spacing w:line="360" w:lineRule="auto"/>
        <w:ind w:firstLine="480" w:firstLineChars="200"/>
        <w:rPr>
          <w:rFonts w:hint="eastAsia" w:ascii="宋体" w:hAnsi="宋体" w:eastAsia="宋体" w:cs="宋体"/>
          <w:color w:val="auto"/>
          <w:sz w:val="24"/>
          <w:highlight w:val="none"/>
        </w:rPr>
      </w:pPr>
      <w:bookmarkStart w:id="11" w:name="_Toc398284532"/>
      <w:bookmarkStart w:id="12" w:name="_Toc398504588"/>
      <w:r>
        <w:rPr>
          <w:rFonts w:hint="eastAsia" w:ascii="宋体" w:hAnsi="宋体" w:eastAsia="宋体" w:cs="宋体"/>
          <w:color w:val="auto"/>
          <w:sz w:val="24"/>
          <w:highlight w:val="none"/>
        </w:rPr>
        <w:t>受</w:t>
      </w:r>
      <w:r>
        <w:rPr>
          <w:rFonts w:hint="eastAsia" w:ascii="宋体" w:hAnsi="宋体" w:cs="宋体"/>
          <w:b/>
          <w:color w:val="auto"/>
          <w:sz w:val="24"/>
          <w:highlight w:val="none"/>
          <w:lang w:eastAsia="zh-CN"/>
        </w:rPr>
        <w:t>厦门五缘游艇文化发展有限公司</w:t>
      </w:r>
      <w:r>
        <w:rPr>
          <w:rFonts w:hint="eastAsia" w:ascii="宋体" w:hAnsi="宋体" w:eastAsia="宋体" w:cs="宋体"/>
          <w:color w:val="auto"/>
          <w:sz w:val="24"/>
          <w:highlight w:val="none"/>
        </w:rPr>
        <w:t>委托，我司就</w:t>
      </w:r>
      <w:r>
        <w:rPr>
          <w:rFonts w:hint="eastAsia" w:ascii="宋体" w:hAnsi="宋体" w:cs="宋体"/>
          <w:b/>
          <w:color w:val="auto"/>
          <w:sz w:val="24"/>
          <w:highlight w:val="none"/>
          <w:lang w:eastAsia="zh-CN"/>
        </w:rPr>
        <w:t>2023年度码头智能化设施维养外包</w:t>
      </w:r>
      <w:r>
        <w:rPr>
          <w:rFonts w:hint="eastAsia" w:ascii="宋体" w:hAnsi="宋体" w:eastAsia="宋体" w:cs="宋体"/>
          <w:color w:val="auto"/>
          <w:sz w:val="24"/>
          <w:highlight w:val="none"/>
        </w:rPr>
        <w:t>进行</w:t>
      </w:r>
      <w:r>
        <w:rPr>
          <w:rFonts w:hint="eastAsia" w:ascii="宋体" w:hAnsi="宋体" w:cs="宋体"/>
          <w:color w:val="auto"/>
          <w:sz w:val="24"/>
          <w:highlight w:val="none"/>
          <w:lang w:val="en-US" w:eastAsia="zh-CN"/>
        </w:rPr>
        <w:t>邀请</w:t>
      </w:r>
      <w:r>
        <w:rPr>
          <w:rFonts w:hint="eastAsia" w:ascii="宋体" w:hAnsi="宋体" w:eastAsia="宋体" w:cs="宋体"/>
          <w:b/>
          <w:color w:val="auto"/>
          <w:sz w:val="24"/>
          <w:highlight w:val="none"/>
        </w:rPr>
        <w:t>招标</w:t>
      </w:r>
      <w:r>
        <w:rPr>
          <w:rFonts w:hint="eastAsia" w:ascii="宋体" w:hAnsi="宋体" w:eastAsia="宋体" w:cs="宋体"/>
          <w:color w:val="auto"/>
          <w:sz w:val="24"/>
          <w:highlight w:val="none"/>
        </w:rPr>
        <w:t>，现邀请</w:t>
      </w:r>
      <w:r>
        <w:rPr>
          <w:rFonts w:hint="eastAsia" w:ascii="宋体" w:hAnsi="宋体" w:cs="宋体"/>
          <w:color w:val="auto"/>
          <w:sz w:val="24"/>
          <w:highlight w:val="none"/>
          <w:lang w:val="en-US" w:eastAsia="zh-CN"/>
        </w:rPr>
        <w:t>贵司</w:t>
      </w:r>
      <w:r>
        <w:rPr>
          <w:rFonts w:hint="eastAsia" w:ascii="宋体" w:hAnsi="宋体" w:eastAsia="宋体" w:cs="宋体"/>
          <w:color w:val="auto"/>
          <w:sz w:val="24"/>
          <w:highlight w:val="none"/>
        </w:rPr>
        <w:t>前来提交密封的投标。</w:t>
      </w:r>
    </w:p>
    <w:p>
      <w:pPr>
        <w:numPr>
          <w:ilvl w:val="0"/>
          <w:numId w:val="2"/>
        </w:numPr>
        <w:spacing w:line="500" w:lineRule="exact"/>
        <w:rPr>
          <w:rFonts w:hint="eastAsia" w:ascii="宋体" w:hAnsi="宋体" w:eastAsia="宋体" w:cs="宋体"/>
          <w:b/>
          <w:color w:val="auto"/>
          <w:sz w:val="24"/>
          <w:highlight w:val="none"/>
        </w:rPr>
      </w:pPr>
      <w:r>
        <w:rPr>
          <w:rFonts w:hint="eastAsia" w:ascii="宋体" w:hAnsi="宋体" w:cs="宋体"/>
          <w:color w:val="auto"/>
          <w:sz w:val="24"/>
        </w:rPr>
        <w:t>招标编号：</w:t>
      </w:r>
      <w:r>
        <w:rPr>
          <w:rFonts w:hint="eastAsia" w:ascii="宋体" w:hAnsi="宋体" w:cs="宋体"/>
          <w:b/>
          <w:color w:val="auto"/>
          <w:sz w:val="24"/>
          <w:highlight w:val="none"/>
          <w:lang w:eastAsia="zh-CN"/>
        </w:rPr>
        <w:t>HT2023-CG014</w:t>
      </w:r>
    </w:p>
    <w:p>
      <w:pPr>
        <w:numPr>
          <w:ilvl w:val="0"/>
          <w:numId w:val="2"/>
        </w:numPr>
        <w:spacing w:line="500" w:lineRule="exact"/>
        <w:rPr>
          <w:rFonts w:ascii="宋体"/>
          <w:color w:val="auto"/>
          <w:sz w:val="24"/>
        </w:rPr>
      </w:pPr>
      <w:r>
        <w:rPr>
          <w:rFonts w:hint="eastAsia" w:ascii="宋体" w:hAnsi="宋体" w:cs="宋体"/>
          <w:color w:val="auto"/>
          <w:sz w:val="24"/>
        </w:rPr>
        <w:t>招标项目名称、数量及主要技术规格：</w:t>
      </w:r>
      <w:r>
        <w:rPr>
          <w:rFonts w:hint="eastAsia" w:ascii="宋体" w:hAnsi="宋体" w:eastAsia="宋体" w:cs="宋体"/>
          <w:color w:val="auto"/>
          <w:sz w:val="24"/>
          <w:highlight w:val="none"/>
        </w:rPr>
        <w:t>见后附“招标项目一览表”</w:t>
      </w:r>
    </w:p>
    <w:p>
      <w:pPr>
        <w:numPr>
          <w:ilvl w:val="0"/>
          <w:numId w:val="0"/>
        </w:numPr>
        <w:snapToGrid w:val="0"/>
        <w:spacing w:line="360" w:lineRule="auto"/>
        <w:ind w:firstLine="480" w:firstLineChars="200"/>
        <w:rPr>
          <w:rFonts w:hint="eastAsia" w:ascii="宋体"/>
          <w:color w:val="auto"/>
          <w:sz w:val="24"/>
          <w:lang w:val="en-US" w:eastAsia="zh-CN"/>
        </w:rPr>
      </w:pPr>
      <w:r>
        <w:rPr>
          <w:rFonts w:hint="eastAsia" w:ascii="宋体"/>
          <w:color w:val="auto"/>
          <w:sz w:val="24"/>
          <w:lang w:val="en-US" w:eastAsia="zh-CN"/>
        </w:rPr>
        <w:t>三 资格要求：</w:t>
      </w:r>
    </w:p>
    <w:p>
      <w:pPr>
        <w:numPr>
          <w:ilvl w:val="0"/>
          <w:numId w:val="0"/>
        </w:numPr>
        <w:snapToGrid w:val="0"/>
        <w:spacing w:line="360" w:lineRule="auto"/>
        <w:ind w:left="568" w:leftChars="0"/>
        <w:rPr>
          <w:rFonts w:ascii="宋体" w:hAnsi="宋体" w:cs="宋体"/>
          <w:b w:val="0"/>
          <w:bCs w:val="0"/>
          <w:color w:val="auto"/>
          <w:sz w:val="24"/>
        </w:rPr>
      </w:pPr>
      <w:r>
        <w:rPr>
          <w:rFonts w:hint="eastAsia" w:ascii="宋体"/>
          <w:color w:val="auto"/>
          <w:sz w:val="24"/>
          <w:lang w:val="en-US" w:eastAsia="zh-CN"/>
        </w:rPr>
        <w:t>1</w:t>
      </w:r>
      <w:r>
        <w:rPr>
          <w:rFonts w:hint="eastAsia" w:ascii="宋体"/>
          <w:b w:val="0"/>
          <w:bCs w:val="0"/>
          <w:color w:val="auto"/>
          <w:sz w:val="24"/>
          <w:lang w:val="en-US" w:eastAsia="zh-CN"/>
        </w:rPr>
        <w:t>.1</w:t>
      </w:r>
      <w:r>
        <w:rPr>
          <w:rFonts w:hint="eastAsia" w:ascii="宋体" w:hAnsi="宋体" w:cs="宋体"/>
          <w:b w:val="0"/>
          <w:bCs w:val="0"/>
          <w:color w:val="auto"/>
          <w:sz w:val="24"/>
        </w:rPr>
        <w:t>*</w:t>
      </w:r>
      <w:r>
        <w:rPr>
          <w:rFonts w:hint="eastAsia" w:ascii="宋体" w:hAnsi="宋体" w:cs="宋体"/>
          <w:b w:val="0"/>
          <w:bCs w:val="0"/>
          <w:color w:val="auto"/>
          <w:sz w:val="24"/>
          <w:lang w:eastAsia="zh-CN"/>
        </w:rPr>
        <w:t>投标人</w:t>
      </w:r>
      <w:r>
        <w:rPr>
          <w:rFonts w:hint="eastAsia" w:ascii="宋体" w:hAnsi="宋体"/>
          <w:b w:val="0"/>
          <w:bCs w:val="0"/>
          <w:color w:val="auto"/>
          <w:sz w:val="24"/>
        </w:rPr>
        <w:t>必须在</w:t>
      </w:r>
      <w:r>
        <w:rPr>
          <w:rFonts w:hint="eastAsia" w:ascii="宋体" w:hAnsi="宋体"/>
          <w:b w:val="0"/>
          <w:bCs w:val="0"/>
          <w:color w:val="auto"/>
          <w:sz w:val="24"/>
          <w:lang w:val="en-US" w:eastAsia="zh-CN"/>
        </w:rPr>
        <w:t>投标</w:t>
      </w:r>
      <w:r>
        <w:rPr>
          <w:rFonts w:hint="eastAsia" w:ascii="宋体" w:hAnsi="宋体"/>
          <w:b w:val="0"/>
          <w:bCs w:val="0"/>
          <w:color w:val="auto"/>
          <w:sz w:val="24"/>
        </w:rPr>
        <w:t>文件中提供加载有统一社会信用代码营业执照复印件</w:t>
      </w:r>
      <w:r>
        <w:rPr>
          <w:rFonts w:hint="eastAsia" w:ascii="宋体" w:hAnsi="宋体" w:cs="宋体"/>
          <w:b w:val="0"/>
          <w:bCs w:val="0"/>
          <w:color w:val="auto"/>
          <w:sz w:val="24"/>
        </w:rPr>
        <w:t>。</w:t>
      </w:r>
    </w:p>
    <w:p>
      <w:pPr>
        <w:numPr>
          <w:ilvl w:val="0"/>
          <w:numId w:val="0"/>
        </w:numPr>
        <w:snapToGrid w:val="0"/>
        <w:spacing w:line="360" w:lineRule="auto"/>
        <w:ind w:left="630" w:leftChars="0"/>
        <w:rPr>
          <w:rFonts w:ascii="宋体" w:hAnsi="宋体" w:cs="宋体"/>
          <w:b w:val="0"/>
          <w:bCs w:val="0"/>
          <w:color w:val="auto"/>
          <w:sz w:val="24"/>
        </w:rPr>
      </w:pPr>
      <w:r>
        <w:rPr>
          <w:rFonts w:hint="eastAsia" w:ascii="宋体" w:hAnsi="宋体" w:cs="宋体"/>
          <w:b w:val="0"/>
          <w:bCs w:val="0"/>
          <w:color w:val="auto"/>
          <w:sz w:val="24"/>
          <w:lang w:val="en-US" w:eastAsia="zh-CN"/>
        </w:rPr>
        <w:t>1.2</w:t>
      </w:r>
      <w:r>
        <w:rPr>
          <w:rFonts w:hint="eastAsia" w:ascii="宋体" w:hAnsi="宋体" w:cs="宋体"/>
          <w:b w:val="0"/>
          <w:bCs w:val="0"/>
          <w:color w:val="auto"/>
          <w:sz w:val="24"/>
        </w:rPr>
        <w:t>*</w:t>
      </w:r>
      <w:r>
        <w:rPr>
          <w:rFonts w:hint="eastAsia" w:ascii="宋体" w:hAnsi="宋体" w:cs="宋体"/>
          <w:b w:val="0"/>
          <w:bCs w:val="0"/>
          <w:color w:val="auto"/>
          <w:sz w:val="24"/>
          <w:lang w:eastAsia="zh-CN"/>
        </w:rPr>
        <w:t>投标人</w:t>
      </w:r>
      <w:r>
        <w:rPr>
          <w:rFonts w:hint="eastAsia" w:ascii="宋体" w:hAnsi="宋体" w:cs="宋体"/>
          <w:b w:val="0"/>
          <w:bCs w:val="0"/>
          <w:color w:val="auto"/>
          <w:sz w:val="24"/>
        </w:rPr>
        <w:t>代表若不是企业法定代表人，则应在</w:t>
      </w:r>
      <w:r>
        <w:rPr>
          <w:rFonts w:hint="eastAsia" w:ascii="宋体" w:hAnsi="宋体" w:cs="宋体"/>
          <w:b w:val="0"/>
          <w:bCs w:val="0"/>
          <w:color w:val="auto"/>
          <w:sz w:val="24"/>
          <w:lang w:val="en-US" w:eastAsia="zh-CN"/>
        </w:rPr>
        <w:t>投标</w:t>
      </w:r>
      <w:r>
        <w:rPr>
          <w:rFonts w:hint="eastAsia" w:ascii="宋体" w:hAnsi="宋体" w:cs="宋体"/>
          <w:b w:val="0"/>
          <w:bCs w:val="0"/>
          <w:color w:val="auto"/>
          <w:sz w:val="24"/>
        </w:rPr>
        <w:t>文件中提供法人授权书原件, 并提供被授权代表身份证复印件。</w:t>
      </w:r>
    </w:p>
    <w:p>
      <w:pPr>
        <w:numPr>
          <w:ilvl w:val="0"/>
          <w:numId w:val="0"/>
        </w:numPr>
        <w:snapToGrid w:val="0"/>
        <w:spacing w:line="360" w:lineRule="auto"/>
        <w:ind w:left="630" w:leftChars="0"/>
        <w:rPr>
          <w:rFonts w:ascii="宋体" w:hAnsi="宋体" w:cs="宋体"/>
          <w:b w:val="0"/>
          <w:bCs w:val="0"/>
          <w:color w:val="auto"/>
          <w:sz w:val="24"/>
        </w:rPr>
      </w:pPr>
      <w:r>
        <w:rPr>
          <w:rFonts w:hint="eastAsia" w:ascii="宋体" w:hAnsi="宋体" w:cs="宋体"/>
          <w:b w:val="0"/>
          <w:bCs w:val="0"/>
          <w:color w:val="auto"/>
          <w:sz w:val="24"/>
          <w:lang w:val="en-US" w:eastAsia="zh-CN"/>
        </w:rPr>
        <w:t>1.3</w:t>
      </w:r>
      <w:r>
        <w:rPr>
          <w:rFonts w:hint="eastAsia" w:ascii="宋体" w:hAnsi="宋体" w:cs="宋体"/>
          <w:b w:val="0"/>
          <w:bCs w:val="0"/>
          <w:color w:val="auto"/>
          <w:sz w:val="24"/>
        </w:rPr>
        <w:t>*本项目不接受联合体</w:t>
      </w:r>
      <w:r>
        <w:rPr>
          <w:rFonts w:hint="eastAsia" w:ascii="宋体" w:hAnsi="宋体" w:cs="宋体"/>
          <w:b w:val="0"/>
          <w:bCs w:val="0"/>
          <w:color w:val="auto"/>
          <w:sz w:val="24"/>
          <w:lang w:val="en-US" w:eastAsia="zh-CN"/>
        </w:rPr>
        <w:t>投标</w:t>
      </w:r>
      <w:r>
        <w:rPr>
          <w:rFonts w:hint="eastAsia" w:ascii="宋体" w:hAnsi="宋体" w:cs="宋体"/>
          <w:b w:val="0"/>
          <w:bCs w:val="0"/>
          <w:color w:val="auto"/>
          <w:sz w:val="24"/>
        </w:rPr>
        <w:t>。</w:t>
      </w:r>
    </w:p>
    <w:p>
      <w:pPr>
        <w:numPr>
          <w:ilvl w:val="0"/>
          <w:numId w:val="0"/>
        </w:numPr>
        <w:snapToGrid w:val="0"/>
        <w:spacing w:line="360" w:lineRule="auto"/>
        <w:ind w:left="630" w:leftChars="0"/>
        <w:rPr>
          <w:rFonts w:ascii="宋体" w:hAnsi="宋体" w:cs="宋体"/>
          <w:b w:val="0"/>
          <w:bCs w:val="0"/>
          <w:color w:val="auto"/>
          <w:sz w:val="24"/>
        </w:rPr>
      </w:pPr>
      <w:r>
        <w:rPr>
          <w:rFonts w:hint="eastAsia" w:ascii="宋体" w:hAnsi="宋体" w:cs="宋体"/>
          <w:b w:val="0"/>
          <w:bCs w:val="0"/>
          <w:color w:val="auto"/>
          <w:sz w:val="24"/>
          <w:lang w:val="en-US" w:eastAsia="zh-CN"/>
        </w:rPr>
        <w:t>1.4</w:t>
      </w:r>
      <w:r>
        <w:rPr>
          <w:rFonts w:ascii="宋体" w:hAnsi="宋体" w:cs="宋体"/>
          <w:b w:val="0"/>
          <w:bCs w:val="0"/>
          <w:color w:val="auto"/>
          <w:sz w:val="24"/>
        </w:rPr>
        <w:t>*</w:t>
      </w:r>
      <w:r>
        <w:rPr>
          <w:rFonts w:hint="eastAsia" w:ascii="宋体" w:hAnsi="宋体" w:cs="宋体"/>
          <w:b w:val="0"/>
          <w:bCs w:val="0"/>
          <w:color w:val="auto"/>
          <w:sz w:val="24"/>
          <w:lang w:eastAsia="zh-CN"/>
        </w:rPr>
        <w:t>投标人</w:t>
      </w:r>
      <w:r>
        <w:rPr>
          <w:rFonts w:hint="eastAsia" w:ascii="宋体" w:hAnsi="宋体" w:cs="宋体"/>
          <w:b w:val="0"/>
          <w:bCs w:val="0"/>
          <w:color w:val="auto"/>
          <w:sz w:val="24"/>
        </w:rPr>
        <w:t>需承诺：单位负责人为同一人或者存在控股、管理关系的不同单位，不得参加同一标段投标或者未划分标段的同一招标项目投标。</w:t>
      </w:r>
    </w:p>
    <w:p>
      <w:pPr>
        <w:numPr>
          <w:ilvl w:val="0"/>
          <w:numId w:val="0"/>
        </w:numPr>
        <w:snapToGrid w:val="0"/>
        <w:spacing w:line="360" w:lineRule="auto"/>
        <w:ind w:left="630" w:leftChars="0"/>
        <w:rPr>
          <w:rFonts w:ascii="宋体" w:hAnsi="宋体" w:cs="宋体"/>
          <w:b w:val="0"/>
          <w:bCs w:val="0"/>
          <w:color w:val="auto"/>
          <w:sz w:val="24"/>
        </w:rPr>
      </w:pPr>
      <w:r>
        <w:rPr>
          <w:rFonts w:hint="eastAsia" w:ascii="宋体" w:hAnsi="宋体" w:cs="宋体"/>
          <w:b w:val="0"/>
          <w:bCs w:val="0"/>
          <w:color w:val="auto"/>
          <w:sz w:val="24"/>
          <w:lang w:val="en-US" w:eastAsia="zh-CN"/>
        </w:rPr>
        <w:t>1.5</w:t>
      </w:r>
      <w:r>
        <w:rPr>
          <w:rFonts w:hint="eastAsia" w:ascii="宋体" w:hAnsi="宋体" w:cs="宋体"/>
          <w:b w:val="0"/>
          <w:bCs w:val="0"/>
          <w:color w:val="auto"/>
          <w:sz w:val="24"/>
        </w:rPr>
        <w:t>*</w:t>
      </w:r>
      <w:r>
        <w:rPr>
          <w:rFonts w:hint="eastAsia" w:ascii="宋体" w:hAnsi="宋体" w:cs="宋体"/>
          <w:b w:val="0"/>
          <w:bCs w:val="0"/>
          <w:color w:val="auto"/>
          <w:sz w:val="24"/>
          <w:lang w:eastAsia="zh-CN"/>
        </w:rPr>
        <w:t>投标人</w:t>
      </w:r>
      <w:r>
        <w:rPr>
          <w:rFonts w:hint="eastAsia" w:ascii="宋体" w:hAnsi="宋体" w:cs="宋体"/>
          <w:b w:val="0"/>
          <w:bCs w:val="0"/>
          <w:color w:val="auto"/>
          <w:sz w:val="24"/>
        </w:rPr>
        <w:t>经营范围应包含电气安装或设备安装或软件开发或信息系统集成服务，需提供营业执照复印件并加盖公章。</w:t>
      </w:r>
    </w:p>
    <w:p>
      <w:pPr>
        <w:tabs>
          <w:tab w:val="left" w:pos="781"/>
          <w:tab w:val="left" w:pos="870"/>
        </w:tabs>
        <w:spacing w:line="360" w:lineRule="auto"/>
        <w:ind w:firstLine="480" w:firstLineChars="200"/>
        <w:rPr>
          <w:rFonts w:ascii="宋体"/>
          <w:color w:val="auto"/>
          <w:sz w:val="24"/>
        </w:rPr>
      </w:pPr>
      <w:r>
        <w:rPr>
          <w:rFonts w:hint="eastAsia" w:ascii="宋体" w:hAnsi="宋体" w:cs="宋体"/>
          <w:b w:val="0"/>
          <w:bCs w:val="0"/>
          <w:color w:val="auto"/>
          <w:sz w:val="24"/>
          <w:lang w:val="en-US" w:eastAsia="zh-CN"/>
        </w:rPr>
        <w:t>1.6</w:t>
      </w:r>
      <w:r>
        <w:rPr>
          <w:rFonts w:hint="eastAsia" w:ascii="宋体" w:hAnsi="宋体" w:cs="宋体"/>
          <w:b w:val="0"/>
          <w:bCs w:val="0"/>
          <w:color w:val="auto"/>
          <w:sz w:val="24"/>
        </w:rPr>
        <w:t>*</w:t>
      </w:r>
      <w:r>
        <w:rPr>
          <w:rFonts w:hint="eastAsia" w:ascii="宋体" w:hAnsi="宋体" w:cs="宋体"/>
          <w:b w:val="0"/>
          <w:bCs w:val="0"/>
          <w:color w:val="auto"/>
          <w:sz w:val="24"/>
          <w:lang w:eastAsia="zh-CN"/>
        </w:rPr>
        <w:t>投标人</w:t>
      </w:r>
      <w:r>
        <w:rPr>
          <w:rFonts w:hint="eastAsia" w:ascii="宋体" w:hAnsi="宋体" w:cs="宋体"/>
          <w:b w:val="0"/>
          <w:bCs w:val="0"/>
          <w:color w:val="auto"/>
          <w:sz w:val="24"/>
        </w:rPr>
        <w:t>应具备电子与智能化工程专业承包</w:t>
      </w:r>
      <w:r>
        <w:rPr>
          <w:rFonts w:hint="eastAsia" w:ascii="宋体" w:hAnsi="宋体" w:cs="宋体"/>
          <w:b w:val="0"/>
          <w:bCs w:val="0"/>
          <w:color w:val="auto"/>
          <w:sz w:val="24"/>
          <w:lang w:eastAsia="zh-CN"/>
        </w:rPr>
        <w:t>二级（含）以上资质</w:t>
      </w:r>
      <w:r>
        <w:rPr>
          <w:rFonts w:hint="eastAsia" w:ascii="宋体" w:hAnsi="宋体" w:cs="宋体"/>
          <w:b w:val="0"/>
          <w:bCs w:val="0"/>
          <w:color w:val="auto"/>
          <w:sz w:val="24"/>
        </w:rPr>
        <w:t>，需提供资质证书复印件并加盖公章</w:t>
      </w:r>
      <w:r>
        <w:rPr>
          <w:rFonts w:hint="eastAsia" w:ascii="宋体" w:hAnsi="宋体" w:cs="宋体"/>
          <w:b w:val="0"/>
          <w:bCs w:val="0"/>
          <w:color w:val="auto"/>
          <w:sz w:val="24"/>
          <w:lang w:val="en-US" w:eastAsia="zh-CN"/>
        </w:rPr>
        <w:t>。</w:t>
      </w:r>
    </w:p>
    <w:p>
      <w:pPr>
        <w:numPr>
          <w:ilvl w:val="0"/>
          <w:numId w:val="0"/>
        </w:numPr>
        <w:spacing w:line="500" w:lineRule="exact"/>
        <w:ind w:left="482" w:leftChars="0"/>
        <w:rPr>
          <w:rFonts w:ascii="宋体"/>
          <w:color w:val="auto"/>
          <w:sz w:val="24"/>
        </w:rPr>
      </w:pPr>
      <w:r>
        <w:rPr>
          <w:rFonts w:hint="eastAsia" w:ascii="宋体" w:hAnsi="宋体" w:cs="宋体"/>
          <w:color w:val="auto"/>
          <w:sz w:val="24"/>
          <w:lang w:val="en-US" w:eastAsia="zh-CN"/>
        </w:rPr>
        <w:t xml:space="preserve">四 </w:t>
      </w:r>
      <w:r>
        <w:rPr>
          <w:rFonts w:hint="eastAsia" w:ascii="宋体" w:hAnsi="宋体" w:cs="宋体"/>
          <w:color w:val="auto"/>
          <w:sz w:val="24"/>
        </w:rPr>
        <w:t>招标文件发售时间（即购买招标文件及报名时间）：即日起至</w:t>
      </w:r>
      <w:r>
        <w:rPr>
          <w:rFonts w:ascii="宋体" w:hAnsi="宋体" w:cs="宋体"/>
          <w:color w:val="auto"/>
          <w:sz w:val="24"/>
        </w:rPr>
        <w:t>202</w:t>
      </w:r>
      <w:r>
        <w:rPr>
          <w:rFonts w:hint="eastAsia" w:ascii="宋体" w:hAnsi="宋体" w:cs="宋体"/>
          <w:color w:val="auto"/>
          <w:sz w:val="24"/>
          <w:lang w:val="en-US" w:eastAsia="zh-CN"/>
        </w:rPr>
        <w:t>2</w:t>
      </w:r>
      <w:r>
        <w:rPr>
          <w:rFonts w:hint="eastAsia" w:ascii="宋体" w:hAnsi="宋体" w:cs="宋体"/>
          <w:color w:val="auto"/>
          <w:sz w:val="24"/>
        </w:rPr>
        <w:t>年</w:t>
      </w:r>
      <w:r>
        <w:rPr>
          <w:rFonts w:hint="eastAsia" w:ascii="宋体" w:hAnsi="宋体" w:cs="宋体"/>
          <w:color w:val="auto"/>
          <w:sz w:val="24"/>
          <w:lang w:val="en-US" w:eastAsia="zh-CN"/>
        </w:rPr>
        <w:t xml:space="preserve"> 1 </w:t>
      </w:r>
      <w:r>
        <w:rPr>
          <w:rFonts w:hint="eastAsia" w:ascii="宋体" w:hAnsi="宋体" w:cs="宋体"/>
          <w:color w:val="auto"/>
          <w:sz w:val="24"/>
        </w:rPr>
        <w:t>月</w:t>
      </w:r>
      <w:r>
        <w:rPr>
          <w:rFonts w:hint="eastAsia" w:ascii="宋体" w:hAnsi="宋体" w:cs="宋体"/>
          <w:color w:val="auto"/>
          <w:sz w:val="24"/>
          <w:lang w:val="en-US" w:eastAsia="zh-CN"/>
        </w:rPr>
        <w:t xml:space="preserve">      30</w:t>
      </w:r>
      <w:r>
        <w:rPr>
          <w:rFonts w:hint="eastAsia" w:ascii="宋体" w:hAnsi="宋体" w:cs="宋体"/>
          <w:color w:val="auto"/>
          <w:sz w:val="24"/>
        </w:rPr>
        <w:t>日下午</w:t>
      </w:r>
      <w:r>
        <w:rPr>
          <w:rFonts w:ascii="宋体" w:hAnsi="宋体" w:cs="宋体"/>
          <w:color w:val="auto"/>
          <w:sz w:val="24"/>
        </w:rPr>
        <w:t>17</w:t>
      </w:r>
      <w:r>
        <w:rPr>
          <w:rFonts w:hint="eastAsia" w:ascii="宋体" w:hAnsi="宋体" w:cs="宋体"/>
          <w:color w:val="auto"/>
          <w:sz w:val="24"/>
        </w:rPr>
        <w:t>：</w:t>
      </w:r>
      <w:r>
        <w:rPr>
          <w:rFonts w:ascii="宋体" w:hAnsi="宋体" w:cs="宋体"/>
          <w:color w:val="auto"/>
          <w:sz w:val="24"/>
        </w:rPr>
        <w:t>30</w:t>
      </w:r>
      <w:r>
        <w:rPr>
          <w:rFonts w:hint="eastAsia" w:ascii="宋体" w:hAnsi="宋体" w:cs="宋体"/>
          <w:color w:val="auto"/>
          <w:sz w:val="24"/>
        </w:rPr>
        <w:t>止（北京时间，下同），逾期代理机构将不接受报名。</w:t>
      </w:r>
    </w:p>
    <w:p>
      <w:pPr>
        <w:numPr>
          <w:ilvl w:val="0"/>
          <w:numId w:val="0"/>
        </w:numPr>
        <w:spacing w:line="500" w:lineRule="exact"/>
        <w:ind w:firstLine="480" w:firstLineChars="200"/>
        <w:rPr>
          <w:rFonts w:ascii="宋体"/>
          <w:color w:val="auto"/>
          <w:sz w:val="24"/>
        </w:rPr>
      </w:pPr>
      <w:r>
        <w:rPr>
          <w:rFonts w:hint="eastAsia" w:ascii="宋体" w:hAnsi="宋体" w:cs="宋体"/>
          <w:color w:val="auto"/>
          <w:sz w:val="24"/>
          <w:lang w:val="en-US" w:eastAsia="zh-CN"/>
        </w:rPr>
        <w:t xml:space="preserve">五 </w:t>
      </w:r>
      <w:r>
        <w:rPr>
          <w:rFonts w:hint="eastAsia" w:ascii="宋体" w:hAnsi="宋体" w:cs="宋体"/>
          <w:color w:val="auto"/>
          <w:sz w:val="24"/>
        </w:rPr>
        <w:t>招标文件：售价人民币</w:t>
      </w:r>
      <w:r>
        <w:rPr>
          <w:rFonts w:hint="eastAsia" w:ascii="宋体" w:hAnsi="宋体" w:cs="宋体"/>
          <w:color w:val="auto"/>
          <w:sz w:val="24"/>
          <w:lang w:val="en-US" w:eastAsia="zh-CN"/>
        </w:rPr>
        <w:t>2</w:t>
      </w:r>
      <w:r>
        <w:rPr>
          <w:rFonts w:hint="eastAsia" w:ascii="宋体" w:hAnsi="宋体" w:cs="宋体"/>
          <w:color w:val="auto"/>
          <w:sz w:val="24"/>
        </w:rPr>
        <w:t>00元，售后不退。购买地址：采用线上购买，通过百城e采电子交易平台（http://xmbcec.com）下载电子招标文件等相关资料（投标人需提前在百城e采电子交易平台注册，注册免费）。购买完成后，各投标人可在百城e采电子交易平台进行自助开票。未购买招标文件的投标人，其投标文件将被拒绝接收</w:t>
      </w:r>
      <w:r>
        <w:rPr>
          <w:rFonts w:hint="eastAsia" w:ascii="宋体" w:cs="宋体"/>
          <w:color w:val="auto"/>
          <w:kern w:val="0"/>
          <w:sz w:val="24"/>
          <w:lang w:val="zh-CN"/>
        </w:rPr>
        <w:t>。</w:t>
      </w:r>
    </w:p>
    <w:p>
      <w:pPr>
        <w:numPr>
          <w:ilvl w:val="0"/>
          <w:numId w:val="0"/>
        </w:numPr>
        <w:spacing w:line="500" w:lineRule="exact"/>
        <w:ind w:left="482" w:leftChars="0"/>
        <w:rPr>
          <w:rFonts w:ascii="宋体"/>
          <w:color w:val="auto"/>
          <w:sz w:val="24"/>
        </w:rPr>
      </w:pPr>
      <w:r>
        <w:rPr>
          <w:rFonts w:hint="eastAsia" w:ascii="宋体" w:hAnsi="宋体" w:cs="宋体"/>
          <w:color w:val="auto"/>
          <w:sz w:val="24"/>
          <w:lang w:val="en-US" w:eastAsia="zh-CN"/>
        </w:rPr>
        <w:t xml:space="preserve">六 </w:t>
      </w:r>
      <w:r>
        <w:rPr>
          <w:rFonts w:hint="eastAsia" w:ascii="宋体" w:hAnsi="宋体" w:cs="宋体"/>
          <w:color w:val="auto"/>
          <w:sz w:val="24"/>
        </w:rPr>
        <w:t>投标截止时间：投标文件应于</w:t>
      </w:r>
      <w:r>
        <w:rPr>
          <w:rFonts w:ascii="宋体" w:hAnsi="宋体" w:cs="宋体"/>
          <w:color w:val="auto"/>
          <w:sz w:val="24"/>
        </w:rPr>
        <w:t>202</w:t>
      </w:r>
      <w:r>
        <w:rPr>
          <w:rFonts w:hint="eastAsia" w:ascii="宋体" w:hAnsi="宋体" w:cs="宋体"/>
          <w:color w:val="auto"/>
          <w:sz w:val="24"/>
          <w:lang w:val="en-US" w:eastAsia="zh-CN"/>
        </w:rPr>
        <w:t>3</w:t>
      </w:r>
      <w:r>
        <w:rPr>
          <w:rFonts w:hint="eastAsia" w:ascii="宋体" w:hAnsi="宋体" w:cs="宋体"/>
          <w:color w:val="auto"/>
          <w:sz w:val="24"/>
        </w:rPr>
        <w:t>年</w:t>
      </w:r>
      <w:r>
        <w:rPr>
          <w:rFonts w:hint="eastAsia" w:ascii="宋体" w:hAnsi="宋体" w:cs="宋体"/>
          <w:color w:val="auto"/>
          <w:sz w:val="24"/>
          <w:lang w:val="en-US" w:eastAsia="zh-CN"/>
        </w:rPr>
        <w:t xml:space="preserve">  1 </w:t>
      </w:r>
      <w:r>
        <w:rPr>
          <w:rFonts w:hint="eastAsia" w:ascii="宋体" w:hAnsi="宋体" w:cs="宋体"/>
          <w:color w:val="auto"/>
          <w:sz w:val="24"/>
        </w:rPr>
        <w:t>月</w:t>
      </w:r>
      <w:r>
        <w:rPr>
          <w:rFonts w:hint="eastAsia" w:ascii="宋体" w:hAnsi="宋体" w:cs="宋体"/>
          <w:color w:val="auto"/>
          <w:sz w:val="24"/>
          <w:lang w:val="en-US" w:eastAsia="zh-CN"/>
        </w:rPr>
        <w:t xml:space="preserve"> 31  </w:t>
      </w:r>
      <w:r>
        <w:rPr>
          <w:rFonts w:hint="eastAsia" w:ascii="宋体" w:hAnsi="宋体" w:cs="宋体"/>
          <w:color w:val="auto"/>
          <w:sz w:val="24"/>
        </w:rPr>
        <w:t>日上午</w:t>
      </w:r>
      <w:r>
        <w:rPr>
          <w:rFonts w:ascii="宋体" w:hAnsi="宋体" w:cs="宋体"/>
          <w:color w:val="auto"/>
          <w:sz w:val="24"/>
        </w:rPr>
        <w:t>09</w:t>
      </w:r>
      <w:r>
        <w:rPr>
          <w:rFonts w:hint="eastAsia" w:ascii="宋体" w:hAnsi="宋体" w:cs="宋体"/>
          <w:color w:val="auto"/>
          <w:sz w:val="24"/>
        </w:rPr>
        <w:t>：</w:t>
      </w:r>
      <w:r>
        <w:rPr>
          <w:rFonts w:hint="eastAsia" w:ascii="宋体" w:cs="宋体"/>
          <w:color w:val="auto"/>
          <w:sz w:val="24"/>
          <w:lang w:val="en-US" w:eastAsia="zh-CN"/>
        </w:rPr>
        <w:t>3</w:t>
      </w:r>
      <w:r>
        <w:rPr>
          <w:rFonts w:ascii="宋体" w:cs="宋体"/>
          <w:color w:val="auto"/>
          <w:sz w:val="24"/>
        </w:rPr>
        <w:t>0</w:t>
      </w:r>
      <w:r>
        <w:rPr>
          <w:rFonts w:hint="eastAsia" w:ascii="宋体" w:hAnsi="宋体" w:cs="宋体"/>
          <w:color w:val="auto"/>
          <w:sz w:val="24"/>
        </w:rPr>
        <w:t>时之前提交到</w:t>
      </w:r>
      <w:r>
        <w:rPr>
          <w:rFonts w:hint="eastAsia" w:ascii="宋体" w:hAnsi="宋体" w:cs="宋体"/>
          <w:color w:val="auto"/>
          <w:sz w:val="24"/>
          <w:highlight w:val="none"/>
        </w:rPr>
        <w:t>厦门市</w:t>
      </w:r>
      <w:r>
        <w:rPr>
          <w:rFonts w:hint="eastAsia" w:ascii="宋体" w:hAnsi="宋体" w:cs="宋体"/>
          <w:color w:val="auto"/>
          <w:sz w:val="24"/>
          <w:highlight w:val="none"/>
          <w:lang w:val="en-US" w:eastAsia="zh-CN"/>
        </w:rPr>
        <w:t>湖里区金远东物流中心4楼MN区</w:t>
      </w:r>
      <w:r>
        <w:rPr>
          <w:rFonts w:hint="eastAsia" w:ascii="宋体" w:hAnsi="宋体" w:cs="宋体"/>
          <w:color w:val="auto"/>
          <w:sz w:val="24"/>
          <w:highlight w:val="none"/>
        </w:rPr>
        <w:t>开标厅</w:t>
      </w:r>
      <w:r>
        <w:rPr>
          <w:rFonts w:hint="eastAsia" w:ascii="宋体" w:hAnsi="宋体" w:cs="宋体"/>
          <w:color w:val="auto"/>
          <w:sz w:val="24"/>
        </w:rPr>
        <w:t>，</w:t>
      </w:r>
      <w:r>
        <w:rPr>
          <w:rFonts w:hint="eastAsia" w:ascii="宋体" w:hAnsi="宋体"/>
          <w:color w:val="auto"/>
          <w:sz w:val="24"/>
        </w:rPr>
        <w:t>投标人递交投标文件时应出示购买招标文件的有效证明（购买收据或转账证明等）。</w:t>
      </w:r>
      <w:r>
        <w:rPr>
          <w:rFonts w:hint="eastAsia" w:ascii="宋体" w:hAnsi="宋体" w:cs="宋体"/>
          <w:color w:val="auto"/>
          <w:sz w:val="24"/>
        </w:rPr>
        <w:t>逾期送达或者未按照招标文件要求密封的投标文件将被拒收。</w:t>
      </w:r>
    </w:p>
    <w:p>
      <w:pPr>
        <w:numPr>
          <w:ilvl w:val="0"/>
          <w:numId w:val="0"/>
        </w:numPr>
        <w:spacing w:line="500" w:lineRule="exact"/>
        <w:ind w:left="482" w:leftChars="0"/>
        <w:rPr>
          <w:rFonts w:hint="eastAsia" w:ascii="宋体" w:hAnsi="宋体" w:eastAsia="宋体" w:cs="宋体"/>
          <w:color w:val="auto"/>
          <w:sz w:val="24"/>
          <w:lang w:eastAsia="zh-CN"/>
        </w:rPr>
      </w:pPr>
      <w:r>
        <w:rPr>
          <w:rFonts w:hint="eastAsia" w:ascii="宋体" w:hAnsi="宋体" w:cs="宋体"/>
          <w:color w:val="auto"/>
          <w:sz w:val="24"/>
          <w:lang w:val="en-US" w:eastAsia="zh-CN"/>
        </w:rPr>
        <w:t xml:space="preserve">七 </w:t>
      </w:r>
      <w:r>
        <w:rPr>
          <w:rFonts w:hint="eastAsia" w:ascii="宋体" w:hAnsi="宋体" w:cs="宋体"/>
          <w:color w:val="auto"/>
          <w:sz w:val="24"/>
        </w:rPr>
        <w:t>开标时间：</w:t>
      </w:r>
      <w:r>
        <w:rPr>
          <w:rFonts w:ascii="宋体" w:hAnsi="宋体" w:cs="宋体"/>
          <w:color w:val="auto"/>
          <w:sz w:val="24"/>
        </w:rPr>
        <w:t>202</w:t>
      </w:r>
      <w:r>
        <w:rPr>
          <w:rFonts w:hint="eastAsia" w:ascii="宋体" w:hAnsi="宋体" w:cs="宋体"/>
          <w:color w:val="auto"/>
          <w:sz w:val="24"/>
          <w:lang w:val="en-US" w:eastAsia="zh-CN"/>
        </w:rPr>
        <w:t>3</w:t>
      </w:r>
      <w:r>
        <w:rPr>
          <w:rFonts w:hint="eastAsia" w:ascii="宋体" w:hAnsi="宋体" w:cs="宋体"/>
          <w:color w:val="auto"/>
          <w:sz w:val="24"/>
        </w:rPr>
        <w:t>年</w:t>
      </w:r>
      <w:r>
        <w:rPr>
          <w:rFonts w:hint="eastAsia" w:ascii="宋体" w:hAnsi="宋体" w:cs="宋体"/>
          <w:color w:val="auto"/>
          <w:sz w:val="24"/>
          <w:lang w:val="en-US" w:eastAsia="zh-CN"/>
        </w:rPr>
        <w:t xml:space="preserve">  1  </w:t>
      </w:r>
      <w:r>
        <w:rPr>
          <w:rFonts w:hint="eastAsia" w:ascii="宋体" w:hAnsi="宋体" w:cs="宋体"/>
          <w:color w:val="auto"/>
          <w:sz w:val="24"/>
        </w:rPr>
        <w:t>月</w:t>
      </w:r>
      <w:r>
        <w:rPr>
          <w:rFonts w:hint="eastAsia" w:ascii="宋体" w:hAnsi="宋体" w:cs="宋体"/>
          <w:color w:val="auto"/>
          <w:sz w:val="24"/>
          <w:lang w:val="en-US" w:eastAsia="zh-CN"/>
        </w:rPr>
        <w:t xml:space="preserve">  31  </w:t>
      </w:r>
      <w:r>
        <w:rPr>
          <w:rFonts w:hint="eastAsia" w:ascii="宋体" w:hAnsi="宋体" w:cs="宋体"/>
          <w:color w:val="auto"/>
          <w:sz w:val="24"/>
        </w:rPr>
        <w:t>日上午</w:t>
      </w:r>
      <w:r>
        <w:rPr>
          <w:rFonts w:ascii="宋体" w:hAnsi="宋体" w:cs="宋体"/>
          <w:color w:val="auto"/>
          <w:sz w:val="24"/>
        </w:rPr>
        <w:t>09</w:t>
      </w:r>
      <w:r>
        <w:rPr>
          <w:rFonts w:hint="eastAsia" w:ascii="宋体" w:hAnsi="宋体" w:cs="宋体"/>
          <w:color w:val="auto"/>
          <w:sz w:val="24"/>
        </w:rPr>
        <w:t>：</w:t>
      </w:r>
      <w:r>
        <w:rPr>
          <w:rFonts w:hint="eastAsia" w:ascii="宋体" w:cs="宋体"/>
          <w:color w:val="auto"/>
          <w:sz w:val="24"/>
          <w:lang w:val="en-US" w:eastAsia="zh-CN"/>
        </w:rPr>
        <w:t>3</w:t>
      </w:r>
      <w:r>
        <w:rPr>
          <w:rFonts w:ascii="宋体" w:cs="宋体"/>
          <w:color w:val="auto"/>
          <w:sz w:val="24"/>
        </w:rPr>
        <w:t>0</w:t>
      </w:r>
      <w:r>
        <w:rPr>
          <w:rFonts w:hint="eastAsia" w:ascii="宋体" w:hAnsi="宋体" w:cs="宋体"/>
          <w:color w:val="auto"/>
          <w:sz w:val="24"/>
        </w:rPr>
        <w:t>时</w:t>
      </w:r>
    </w:p>
    <w:p>
      <w:pPr>
        <w:numPr>
          <w:ilvl w:val="0"/>
          <w:numId w:val="0"/>
        </w:numPr>
        <w:spacing w:line="500" w:lineRule="exact"/>
        <w:ind w:left="482" w:leftChars="0"/>
        <w:rPr>
          <w:rFonts w:hint="eastAsia" w:ascii="宋体" w:hAnsi="宋体" w:eastAsia="宋体" w:cs="宋体"/>
          <w:color w:val="auto"/>
          <w:sz w:val="24"/>
          <w:lang w:eastAsia="zh-CN"/>
        </w:rPr>
      </w:pPr>
      <w:r>
        <w:rPr>
          <w:rFonts w:hint="eastAsia" w:ascii="宋体" w:hAnsi="宋体" w:cs="宋体"/>
          <w:color w:val="auto"/>
          <w:sz w:val="24"/>
          <w:lang w:val="en-US" w:eastAsia="zh-CN"/>
        </w:rPr>
        <w:t xml:space="preserve">八 </w:t>
      </w:r>
      <w:r>
        <w:rPr>
          <w:rFonts w:hint="eastAsia" w:ascii="宋体" w:hAnsi="宋体" w:cs="宋体"/>
          <w:color w:val="auto"/>
          <w:sz w:val="24"/>
        </w:rPr>
        <w:t>开标地点：</w:t>
      </w:r>
      <w:r>
        <w:rPr>
          <w:rFonts w:hint="eastAsia" w:ascii="宋体" w:hAnsi="宋体" w:cs="宋体"/>
          <w:color w:val="auto"/>
          <w:sz w:val="24"/>
          <w:highlight w:val="none"/>
        </w:rPr>
        <w:t>厦门市</w:t>
      </w:r>
      <w:r>
        <w:rPr>
          <w:rFonts w:hint="eastAsia" w:ascii="宋体" w:hAnsi="宋体" w:cs="宋体"/>
          <w:color w:val="auto"/>
          <w:sz w:val="24"/>
          <w:highlight w:val="none"/>
          <w:lang w:val="en-US" w:eastAsia="zh-CN"/>
        </w:rPr>
        <w:t>湖里区金远东物流中心4楼MN区</w:t>
      </w:r>
      <w:r>
        <w:rPr>
          <w:rFonts w:hint="eastAsia" w:ascii="宋体" w:hAnsi="宋体" w:cs="宋体"/>
          <w:color w:val="auto"/>
          <w:sz w:val="24"/>
          <w:highlight w:val="none"/>
        </w:rPr>
        <w:t>开标厅</w:t>
      </w:r>
    </w:p>
    <w:p>
      <w:pPr>
        <w:numPr>
          <w:ilvl w:val="0"/>
          <w:numId w:val="0"/>
        </w:numPr>
        <w:spacing w:line="500" w:lineRule="exact"/>
        <w:ind w:left="482" w:leftChars="0"/>
        <w:rPr>
          <w:rFonts w:ascii="宋体"/>
          <w:color w:val="auto"/>
          <w:sz w:val="24"/>
        </w:rPr>
      </w:pPr>
      <w:r>
        <w:rPr>
          <w:rFonts w:hint="eastAsia" w:ascii="宋体" w:hAnsi="宋体" w:cs="宋体"/>
          <w:color w:val="auto"/>
          <w:kern w:val="0"/>
          <w:sz w:val="24"/>
          <w:lang w:val="en-US" w:eastAsia="zh-CN"/>
        </w:rPr>
        <w:t xml:space="preserve">九 </w:t>
      </w:r>
      <w:r>
        <w:rPr>
          <w:rFonts w:hint="eastAsia" w:ascii="宋体" w:hAnsi="宋体" w:cs="宋体"/>
          <w:color w:val="auto"/>
          <w:kern w:val="0"/>
          <w:sz w:val="24"/>
        </w:rPr>
        <w:t>招标文件如有变更（答疑文件、补充通知、延期通知、最高控制价通知等），代理机构将通</w:t>
      </w:r>
      <w:r>
        <w:rPr>
          <w:rFonts w:hint="eastAsia" w:ascii="宋体" w:hAnsi="宋体" w:cs="宋体"/>
          <w:color w:val="auto"/>
          <w:kern w:val="0"/>
          <w:sz w:val="24"/>
          <w:highlight w:val="none"/>
        </w:rPr>
        <w:t>过</w:t>
      </w:r>
      <w:r>
        <w:rPr>
          <w:rFonts w:hint="eastAsia" w:ascii="宋体" w:hAnsi="宋体" w:eastAsia="宋体" w:cs="宋体"/>
          <w:color w:val="auto"/>
          <w:kern w:val="0"/>
          <w:sz w:val="24"/>
          <w:highlight w:val="none"/>
        </w:rPr>
        <w:t>中国招标投标公共服务平台</w:t>
      </w:r>
      <w:r>
        <w:rPr>
          <w:rFonts w:hint="eastAsia" w:ascii="宋体" w:hAnsi="宋体" w:cs="宋体"/>
          <w:color w:val="auto"/>
          <w:kern w:val="0"/>
          <w:sz w:val="24"/>
          <w:highlight w:val="none"/>
          <w:lang w:eastAsia="zh-CN"/>
        </w:rPr>
        <w:t>、</w:t>
      </w:r>
      <w:r>
        <w:rPr>
          <w:rFonts w:hint="eastAsia" w:ascii="宋体" w:hAnsi="宋体" w:cs="宋体"/>
          <w:color w:val="auto"/>
          <w:sz w:val="24"/>
          <w:highlight w:val="none"/>
        </w:rPr>
        <w:t>百城e采电子交易平台</w:t>
      </w:r>
      <w:r>
        <w:rPr>
          <w:rFonts w:hint="eastAsia" w:ascii="宋体" w:hAnsi="宋体" w:eastAsia="宋体" w:cs="宋体"/>
          <w:color w:val="auto"/>
          <w:kern w:val="0"/>
          <w:sz w:val="24"/>
          <w:highlight w:val="none"/>
        </w:rPr>
        <w:t>发布媒体通知，请投标人关注并及时下载。</w:t>
      </w:r>
    </w:p>
    <w:p>
      <w:pPr>
        <w:numPr>
          <w:ilvl w:val="0"/>
          <w:numId w:val="0"/>
        </w:numPr>
        <w:spacing w:line="500" w:lineRule="exact"/>
        <w:ind w:left="482" w:leftChars="0"/>
        <w:rPr>
          <w:rFonts w:ascii="宋体"/>
          <w:color w:val="auto"/>
          <w:sz w:val="24"/>
        </w:rPr>
      </w:pPr>
      <w:r>
        <w:rPr>
          <w:rFonts w:hint="eastAsia" w:ascii="宋体" w:hAnsi="宋体"/>
          <w:b/>
          <w:bCs/>
          <w:color w:val="auto"/>
          <w:sz w:val="24"/>
          <w:lang w:val="en-US" w:eastAsia="zh-CN"/>
        </w:rPr>
        <w:t xml:space="preserve">十 </w:t>
      </w:r>
      <w:r>
        <w:rPr>
          <w:rFonts w:hint="eastAsia" w:ascii="宋体" w:hAnsi="宋体"/>
          <w:b/>
          <w:bCs/>
          <w:color w:val="auto"/>
          <w:sz w:val="24"/>
        </w:rPr>
        <w:t>为方便开标唱标，投标人应将开标一览表原件和投标保证金缴交凭证单独密封，并在信封上标明</w:t>
      </w:r>
      <w:r>
        <w:rPr>
          <w:rFonts w:hint="eastAsia" w:ascii="宋体"/>
          <w:b/>
          <w:bCs/>
          <w:color w:val="auto"/>
          <w:sz w:val="24"/>
        </w:rPr>
        <w:t>“</w:t>
      </w:r>
      <w:r>
        <w:rPr>
          <w:rFonts w:hint="eastAsia" w:ascii="宋体" w:hAnsi="宋体"/>
          <w:b/>
          <w:bCs/>
          <w:color w:val="auto"/>
          <w:sz w:val="24"/>
        </w:rPr>
        <w:t>开标一览表</w:t>
      </w:r>
      <w:r>
        <w:rPr>
          <w:rFonts w:hint="eastAsia" w:ascii="宋体"/>
          <w:b/>
          <w:bCs/>
          <w:color w:val="auto"/>
          <w:sz w:val="24"/>
        </w:rPr>
        <w:t>”</w:t>
      </w:r>
      <w:r>
        <w:rPr>
          <w:rFonts w:hint="eastAsia" w:ascii="宋体" w:hAnsi="宋体"/>
          <w:b/>
          <w:bCs/>
          <w:color w:val="auto"/>
          <w:sz w:val="24"/>
        </w:rPr>
        <w:t>字样，然后再装入投标文件密封袋中密封。</w:t>
      </w:r>
    </w:p>
    <w:p>
      <w:pPr>
        <w:numPr>
          <w:ilvl w:val="0"/>
          <w:numId w:val="0"/>
        </w:numPr>
        <w:spacing w:line="500" w:lineRule="exact"/>
        <w:ind w:left="482" w:leftChars="0"/>
        <w:rPr>
          <w:rFonts w:ascii="宋体"/>
          <w:color w:val="auto"/>
          <w:sz w:val="24"/>
        </w:rPr>
      </w:pPr>
      <w:r>
        <w:rPr>
          <w:rFonts w:hint="eastAsia" w:ascii="宋体"/>
          <w:color w:val="auto"/>
          <w:sz w:val="24"/>
          <w:lang w:val="en-US" w:eastAsia="zh-CN"/>
        </w:rPr>
        <w:t xml:space="preserve">十一 </w:t>
      </w:r>
      <w:r>
        <w:rPr>
          <w:rFonts w:hint="eastAsia" w:ascii="宋体"/>
          <w:color w:val="auto"/>
          <w:sz w:val="24"/>
        </w:rPr>
        <w:t>发布公告的媒介：</w:t>
      </w:r>
      <w:r>
        <w:rPr>
          <w:rStyle w:val="52"/>
          <w:rFonts w:hint="eastAsia" w:ascii="宋体"/>
          <w:color w:val="auto"/>
          <w:sz w:val="24"/>
          <w:u w:val="none"/>
        </w:rPr>
        <w:t>中国招标投标公共服务平台（http://www.cebpubservice.com/）、</w:t>
      </w:r>
      <w:r>
        <w:rPr>
          <w:rFonts w:hint="eastAsia" w:ascii="宋体" w:hAnsi="宋体" w:cs="宋体"/>
          <w:color w:val="auto"/>
          <w:sz w:val="24"/>
        </w:rPr>
        <w:t>百城e采电子交易平台（http://xmbcec.com/TPBidder/memberLogin）</w:t>
      </w:r>
      <w:r>
        <w:rPr>
          <w:rStyle w:val="52"/>
          <w:rFonts w:hint="eastAsia" w:ascii="宋体"/>
          <w:color w:val="auto"/>
          <w:sz w:val="24"/>
          <w:u w:val="none"/>
        </w:rPr>
        <w:t>上发布</w:t>
      </w:r>
    </w:p>
    <w:p>
      <w:pPr>
        <w:numPr>
          <w:ilvl w:val="0"/>
          <w:numId w:val="0"/>
        </w:numPr>
        <w:spacing w:line="500" w:lineRule="exact"/>
        <w:ind w:left="482" w:leftChars="0"/>
        <w:rPr>
          <w:rFonts w:ascii="宋体"/>
          <w:color w:val="auto"/>
          <w:sz w:val="24"/>
        </w:rPr>
      </w:pPr>
      <w:r>
        <w:rPr>
          <w:rFonts w:hint="eastAsia" w:ascii="宋体" w:hAnsi="宋体" w:cs="宋体"/>
          <w:color w:val="auto"/>
          <w:sz w:val="24"/>
          <w:lang w:val="en-US" w:eastAsia="zh-CN"/>
        </w:rPr>
        <w:t xml:space="preserve">十二 </w:t>
      </w:r>
      <w:r>
        <w:rPr>
          <w:rFonts w:hint="eastAsia" w:ascii="宋体" w:hAnsi="宋体" w:cs="宋体"/>
          <w:color w:val="auto"/>
          <w:sz w:val="24"/>
        </w:rPr>
        <w:t>投标有关事宜的联系方式：</w:t>
      </w:r>
    </w:p>
    <w:p>
      <w:pPr>
        <w:spacing w:line="500" w:lineRule="exact"/>
        <w:ind w:left="482"/>
        <w:rPr>
          <w:rFonts w:ascii="宋体"/>
          <w:color w:val="auto"/>
          <w:sz w:val="24"/>
        </w:rPr>
      </w:pPr>
      <w:r>
        <w:rPr>
          <w:rFonts w:hint="eastAsia" w:ascii="宋体"/>
          <w:color w:val="auto"/>
          <w:sz w:val="24"/>
          <w:lang w:eastAsia="zh-CN"/>
        </w:rPr>
        <w:t>招标代理机构</w:t>
      </w:r>
      <w:r>
        <w:rPr>
          <w:rFonts w:hint="eastAsia" w:ascii="宋体"/>
          <w:color w:val="auto"/>
          <w:sz w:val="24"/>
        </w:rPr>
        <w:t>：</w:t>
      </w:r>
      <w:r>
        <w:rPr>
          <w:rFonts w:hint="eastAsia" w:ascii="宋体" w:hAnsi="宋体" w:cs="宋体"/>
          <w:color w:val="auto"/>
          <w:kern w:val="0"/>
          <w:sz w:val="24"/>
          <w:lang w:eastAsia="zh-CN"/>
        </w:rPr>
        <w:t>厦门路桥百城管理咨询有限公司</w:t>
      </w:r>
    </w:p>
    <w:p>
      <w:pPr>
        <w:spacing w:line="500" w:lineRule="exact"/>
        <w:ind w:left="482"/>
        <w:rPr>
          <w:rFonts w:ascii="宋体"/>
          <w:color w:val="auto"/>
          <w:sz w:val="24"/>
        </w:rPr>
      </w:pPr>
      <w:r>
        <w:rPr>
          <w:rFonts w:hint="eastAsia" w:ascii="宋体"/>
          <w:color w:val="auto"/>
          <w:sz w:val="24"/>
        </w:rPr>
        <w:t>地址：</w:t>
      </w:r>
      <w:r>
        <w:rPr>
          <w:rFonts w:hint="eastAsia" w:ascii="宋体" w:hAnsi="宋体" w:cs="宋体"/>
          <w:color w:val="auto"/>
          <w:sz w:val="24"/>
        </w:rPr>
        <w:t>厦门市思明区莲前西路</w:t>
      </w:r>
      <w:r>
        <w:rPr>
          <w:rFonts w:ascii="宋体" w:hAnsi="宋体" w:cs="宋体"/>
          <w:color w:val="auto"/>
          <w:sz w:val="24"/>
        </w:rPr>
        <w:t>281</w:t>
      </w:r>
      <w:r>
        <w:rPr>
          <w:rFonts w:hint="eastAsia" w:ascii="宋体" w:hAnsi="宋体" w:cs="宋体"/>
          <w:color w:val="auto"/>
          <w:sz w:val="24"/>
        </w:rPr>
        <w:t>号</w:t>
      </w:r>
      <w:r>
        <w:rPr>
          <w:rFonts w:ascii="宋体" w:hAnsi="宋体" w:cs="宋体"/>
          <w:color w:val="auto"/>
          <w:sz w:val="24"/>
        </w:rPr>
        <w:t>10</w:t>
      </w:r>
      <w:r>
        <w:rPr>
          <w:rFonts w:hint="eastAsia" w:ascii="宋体" w:hAnsi="宋体" w:cs="宋体"/>
          <w:color w:val="auto"/>
          <w:sz w:val="24"/>
        </w:rPr>
        <w:t>楼</w:t>
      </w:r>
    </w:p>
    <w:p>
      <w:pPr>
        <w:spacing w:line="500" w:lineRule="exact"/>
        <w:ind w:left="482"/>
        <w:rPr>
          <w:rFonts w:hint="eastAsia" w:ascii="宋体"/>
          <w:color w:val="auto"/>
          <w:sz w:val="24"/>
          <w:lang w:val="en-US" w:eastAsia="zh-CN"/>
        </w:rPr>
      </w:pPr>
      <w:r>
        <w:rPr>
          <w:rFonts w:ascii="宋体"/>
          <w:color w:val="auto"/>
          <w:sz w:val="24"/>
        </w:rPr>
        <w:t>联系人</w:t>
      </w:r>
      <w:r>
        <w:rPr>
          <w:rFonts w:hint="eastAsia" w:ascii="宋体"/>
          <w:color w:val="auto"/>
          <w:sz w:val="24"/>
        </w:rPr>
        <w:t>：</w:t>
      </w:r>
      <w:r>
        <w:rPr>
          <w:rFonts w:hint="eastAsia" w:ascii="宋体"/>
          <w:color w:val="auto"/>
          <w:sz w:val="24"/>
          <w:lang w:val="en-US" w:eastAsia="zh-CN"/>
        </w:rPr>
        <w:t xml:space="preserve">周翠珊           </w:t>
      </w:r>
      <w:r>
        <w:rPr>
          <w:rFonts w:hint="eastAsia" w:ascii="宋体"/>
          <w:color w:val="auto"/>
          <w:sz w:val="24"/>
        </w:rPr>
        <w:t>联系电话：</w:t>
      </w:r>
      <w:r>
        <w:rPr>
          <w:rFonts w:hint="eastAsia" w:ascii="宋体"/>
          <w:color w:val="auto"/>
          <w:sz w:val="24"/>
          <w:lang w:val="en-US" w:eastAsia="zh-CN"/>
        </w:rPr>
        <w:t>15959231227</w:t>
      </w:r>
    </w:p>
    <w:p>
      <w:pPr>
        <w:spacing w:line="500" w:lineRule="exact"/>
        <w:ind w:left="482"/>
        <w:rPr>
          <w:rFonts w:ascii="宋体"/>
          <w:color w:val="auto"/>
          <w:sz w:val="24"/>
        </w:rPr>
      </w:pPr>
      <w:r>
        <w:rPr>
          <w:rFonts w:hint="eastAsia" w:ascii="宋体"/>
          <w:color w:val="auto"/>
          <w:sz w:val="24"/>
        </w:rPr>
        <w:t>邮箱：</w:t>
      </w:r>
      <w:r>
        <w:rPr>
          <w:rFonts w:ascii="宋体" w:hAnsi="宋体" w:cs="宋体"/>
          <w:color w:val="auto"/>
          <w:kern w:val="0"/>
          <w:sz w:val="24"/>
        </w:rPr>
        <w:t>huiteng1009@126.com</w:t>
      </w:r>
    </w:p>
    <w:p>
      <w:pPr>
        <w:numPr>
          <w:ilvl w:val="0"/>
          <w:numId w:val="0"/>
        </w:numPr>
        <w:spacing w:line="500" w:lineRule="exact"/>
        <w:ind w:left="482" w:leftChars="0"/>
        <w:rPr>
          <w:rFonts w:ascii="宋体"/>
          <w:color w:val="auto"/>
          <w:sz w:val="24"/>
        </w:rPr>
      </w:pPr>
      <w:r>
        <w:rPr>
          <w:rFonts w:hint="eastAsia" w:ascii="宋体" w:hAnsi="宋体" w:cs="宋体"/>
          <w:color w:val="auto"/>
          <w:sz w:val="24"/>
          <w:lang w:val="en-US" w:eastAsia="zh-CN"/>
        </w:rPr>
        <w:t xml:space="preserve">十三  </w:t>
      </w:r>
      <w:r>
        <w:rPr>
          <w:rFonts w:hint="eastAsia" w:ascii="宋体" w:hAnsi="宋体" w:cs="宋体"/>
          <w:color w:val="auto"/>
          <w:sz w:val="24"/>
        </w:rPr>
        <w:t>投标保证金及招标代理服务费缴交账户：</w:t>
      </w:r>
    </w:p>
    <w:tbl>
      <w:tblPr>
        <w:tblStyle w:val="41"/>
        <w:tblW w:w="9433"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64"/>
        <w:gridCol w:w="3593"/>
        <w:gridCol w:w="3676"/>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989" w:hRule="atLeast"/>
          <w:jc w:val="center"/>
        </w:trPr>
        <w:tc>
          <w:tcPr>
            <w:tcW w:w="2164" w:type="dxa"/>
            <w:tcBorders>
              <w:top w:val="thinThickSmallGap" w:color="auto" w:sz="12" w:space="0"/>
            </w:tcBorders>
            <w:vAlign w:val="center"/>
          </w:tcPr>
          <w:p>
            <w:pPr>
              <w:spacing w:line="500" w:lineRule="exact"/>
              <w:jc w:val="center"/>
              <w:rPr>
                <w:rFonts w:ascii="宋体" w:hAnsi="宋体" w:cs="宋体"/>
                <w:color w:val="auto"/>
                <w:kern w:val="0"/>
                <w:sz w:val="24"/>
              </w:rPr>
            </w:pPr>
            <w:r>
              <w:rPr>
                <w:rFonts w:ascii="宋体" w:hAnsi="宋体" w:cs="宋体"/>
                <w:color w:val="auto"/>
                <w:kern w:val="0"/>
                <w:sz w:val="24"/>
              </w:rPr>
              <w:pict>
                <v:line id="__TH_L2" o:spid="_x0000_s1026" o:spt="20" style="position:absolute;left:0pt;margin-left:-5.8pt;margin-top:1.45pt;height:46.2pt;width:107.05pt;z-index:251659264;mso-width-relative:page;mso-height-relative:page;" coordsize="21600,21600">
                  <v:path arrowok="t"/>
                  <v:fill focussize="0,0"/>
                  <v:stroke/>
                  <v:imagedata o:title=""/>
                  <o:lock v:ext="edit"/>
                </v:line>
              </w:pict>
            </w:r>
            <w:r>
              <w:rPr>
                <w:rFonts w:hint="eastAsia" w:ascii="宋体" w:hAnsi="宋体" w:cs="宋体"/>
                <w:color w:val="auto"/>
                <w:kern w:val="0"/>
                <w:sz w:val="24"/>
              </w:rPr>
              <w:t xml:space="preserve">         类型</w:t>
            </w:r>
          </w:p>
          <w:p>
            <w:pPr>
              <w:spacing w:line="500" w:lineRule="exact"/>
              <w:rPr>
                <w:rFonts w:ascii="宋体" w:hAnsi="宋体" w:cs="宋体"/>
                <w:color w:val="auto"/>
                <w:kern w:val="0"/>
                <w:sz w:val="24"/>
              </w:rPr>
            </w:pPr>
            <w:r>
              <w:rPr>
                <w:rFonts w:hint="eastAsia" w:ascii="宋体" w:hAnsi="宋体" w:cs="宋体"/>
                <w:color w:val="auto"/>
                <w:kern w:val="0"/>
                <w:sz w:val="24"/>
              </w:rPr>
              <w:t>基本信息</w:t>
            </w:r>
          </w:p>
        </w:tc>
        <w:tc>
          <w:tcPr>
            <w:tcW w:w="3593" w:type="dxa"/>
            <w:tcBorders>
              <w:top w:val="thinThickSmallGap" w:color="auto" w:sz="12" w:space="0"/>
            </w:tcBorders>
            <w:vAlign w:val="center"/>
          </w:tcPr>
          <w:p>
            <w:pPr>
              <w:spacing w:line="520" w:lineRule="exact"/>
              <w:jc w:val="center"/>
              <w:rPr>
                <w:rFonts w:ascii="宋体" w:hAnsi="宋体" w:cs="宋体"/>
                <w:b/>
                <w:color w:val="auto"/>
                <w:kern w:val="0"/>
                <w:sz w:val="28"/>
                <w:szCs w:val="28"/>
              </w:rPr>
            </w:pPr>
            <w:r>
              <w:rPr>
                <w:rFonts w:hint="eastAsia" w:ascii="宋体" w:hAnsi="宋体" w:cs="宋体"/>
                <w:b/>
                <w:color w:val="auto"/>
                <w:kern w:val="0"/>
                <w:sz w:val="28"/>
                <w:szCs w:val="28"/>
              </w:rPr>
              <w:t>投标保证金缴交账户</w:t>
            </w:r>
          </w:p>
        </w:tc>
        <w:tc>
          <w:tcPr>
            <w:tcW w:w="3676" w:type="dxa"/>
            <w:tcBorders>
              <w:top w:val="thinThickSmallGap" w:color="auto" w:sz="12" w:space="0"/>
            </w:tcBorders>
            <w:vAlign w:val="center"/>
          </w:tcPr>
          <w:p>
            <w:pPr>
              <w:spacing w:line="520" w:lineRule="exact"/>
              <w:jc w:val="center"/>
              <w:rPr>
                <w:rFonts w:ascii="宋体" w:hAnsi="宋体" w:cs="宋体"/>
                <w:b/>
                <w:color w:val="auto"/>
                <w:kern w:val="0"/>
                <w:sz w:val="28"/>
                <w:szCs w:val="28"/>
              </w:rPr>
            </w:pPr>
            <w:r>
              <w:rPr>
                <w:rFonts w:hint="eastAsia" w:ascii="宋体" w:hAnsi="宋体" w:cs="宋体"/>
                <w:b/>
                <w:color w:val="auto"/>
                <w:kern w:val="0"/>
                <w:sz w:val="28"/>
                <w:szCs w:val="28"/>
              </w:rPr>
              <w:t>招标代理服务费缴交账户</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2164" w:type="dxa"/>
            <w:vAlign w:val="center"/>
          </w:tcPr>
          <w:p>
            <w:pPr>
              <w:spacing w:line="500" w:lineRule="exact"/>
              <w:jc w:val="center"/>
              <w:rPr>
                <w:rFonts w:ascii="宋体"/>
                <w:color w:val="auto"/>
                <w:kern w:val="0"/>
                <w:sz w:val="24"/>
              </w:rPr>
            </w:pPr>
            <w:r>
              <w:rPr>
                <w:rFonts w:hint="eastAsia" w:ascii="宋体" w:hAnsi="宋体" w:cs="宋体"/>
                <w:color w:val="auto"/>
                <w:kern w:val="0"/>
                <w:sz w:val="24"/>
              </w:rPr>
              <w:t>开户行</w:t>
            </w:r>
          </w:p>
        </w:tc>
        <w:tc>
          <w:tcPr>
            <w:tcW w:w="3593" w:type="dxa"/>
          </w:tcPr>
          <w:p>
            <w:pPr>
              <w:spacing w:line="520" w:lineRule="exact"/>
              <w:jc w:val="center"/>
              <w:rPr>
                <w:rFonts w:ascii="宋体" w:hAnsi="宋体" w:cs="宋体"/>
                <w:color w:val="auto"/>
                <w:kern w:val="0"/>
                <w:sz w:val="24"/>
              </w:rPr>
            </w:pPr>
            <w:r>
              <w:rPr>
                <w:rFonts w:hint="eastAsia" w:ascii="宋体" w:hAnsi="宋体" w:cs="宋体"/>
                <w:color w:val="auto"/>
                <w:kern w:val="0"/>
                <w:sz w:val="24"/>
                <w:szCs w:val="24"/>
              </w:rPr>
              <w:t>交通银行厦门思北支行</w:t>
            </w:r>
          </w:p>
        </w:tc>
        <w:tc>
          <w:tcPr>
            <w:tcW w:w="3676" w:type="dxa"/>
            <w:vAlign w:val="center"/>
          </w:tcPr>
          <w:p>
            <w:pPr>
              <w:spacing w:line="520" w:lineRule="exact"/>
              <w:jc w:val="center"/>
              <w:rPr>
                <w:rFonts w:ascii="宋体"/>
                <w:color w:val="auto"/>
                <w:kern w:val="0"/>
                <w:sz w:val="24"/>
              </w:rPr>
            </w:pPr>
            <w:r>
              <w:rPr>
                <w:rFonts w:hint="eastAsia" w:ascii="宋体" w:hAnsi="宋体" w:cs="宋体"/>
                <w:color w:val="auto"/>
                <w:kern w:val="0"/>
                <w:sz w:val="24"/>
              </w:rPr>
              <w:t>建行厦门分行</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376" w:hRule="atLeast"/>
          <w:jc w:val="center"/>
        </w:trPr>
        <w:tc>
          <w:tcPr>
            <w:tcW w:w="2164" w:type="dxa"/>
            <w:vAlign w:val="center"/>
          </w:tcPr>
          <w:p>
            <w:pPr>
              <w:spacing w:line="500" w:lineRule="exact"/>
              <w:jc w:val="center"/>
              <w:rPr>
                <w:rFonts w:ascii="宋体" w:hAnsi="宋体" w:cs="宋体"/>
                <w:color w:val="auto"/>
                <w:kern w:val="0"/>
                <w:sz w:val="24"/>
              </w:rPr>
            </w:pPr>
            <w:r>
              <w:rPr>
                <w:rFonts w:hint="eastAsia" w:ascii="宋体" w:hAnsi="宋体" w:cs="宋体"/>
                <w:color w:val="auto"/>
                <w:kern w:val="0"/>
                <w:sz w:val="24"/>
              </w:rPr>
              <w:t>账号</w:t>
            </w:r>
          </w:p>
        </w:tc>
        <w:tc>
          <w:tcPr>
            <w:tcW w:w="3593" w:type="dxa"/>
          </w:tcPr>
          <w:p>
            <w:pPr>
              <w:spacing w:line="520" w:lineRule="exact"/>
              <w:jc w:val="center"/>
              <w:rPr>
                <w:rFonts w:ascii="宋体" w:hAnsi="宋体" w:cs="宋体"/>
                <w:color w:val="auto"/>
                <w:kern w:val="0"/>
                <w:sz w:val="24"/>
              </w:rPr>
            </w:pPr>
            <w:r>
              <w:rPr>
                <w:rStyle w:val="43"/>
                <w:rFonts w:hint="default" w:ascii="宋体" w:hAnsi="宋体" w:eastAsia="宋体" w:cs="宋体"/>
                <w:color w:val="auto"/>
                <w:kern w:val="0"/>
                <w:sz w:val="24"/>
                <w:szCs w:val="24"/>
                <w:shd w:val="clear"/>
              </w:rPr>
              <w:t>83520006720130011000053</w:t>
            </w:r>
          </w:p>
        </w:tc>
        <w:tc>
          <w:tcPr>
            <w:tcW w:w="3676" w:type="dxa"/>
            <w:vAlign w:val="center"/>
          </w:tcPr>
          <w:p>
            <w:pPr>
              <w:spacing w:line="520" w:lineRule="exact"/>
              <w:jc w:val="center"/>
              <w:rPr>
                <w:rFonts w:ascii="宋体" w:hAnsi="宋体" w:cs="宋体"/>
                <w:color w:val="auto"/>
                <w:kern w:val="0"/>
                <w:sz w:val="24"/>
              </w:rPr>
            </w:pPr>
            <w:r>
              <w:rPr>
                <w:rFonts w:ascii="宋体" w:hAnsi="宋体" w:cs="宋体"/>
                <w:color w:val="auto"/>
                <w:kern w:val="0"/>
                <w:sz w:val="24"/>
              </w:rPr>
              <w:t>35101535001050009676</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2164" w:type="dxa"/>
            <w:vAlign w:val="center"/>
          </w:tcPr>
          <w:p>
            <w:pPr>
              <w:spacing w:line="500" w:lineRule="exact"/>
              <w:jc w:val="center"/>
              <w:rPr>
                <w:rFonts w:ascii="宋体"/>
                <w:color w:val="auto"/>
                <w:kern w:val="0"/>
                <w:sz w:val="24"/>
              </w:rPr>
            </w:pPr>
            <w:r>
              <w:rPr>
                <w:rFonts w:hint="eastAsia" w:ascii="宋体" w:hAnsi="宋体" w:cs="宋体"/>
                <w:color w:val="auto"/>
                <w:kern w:val="0"/>
                <w:sz w:val="24"/>
              </w:rPr>
              <w:t>收款单位</w:t>
            </w:r>
          </w:p>
        </w:tc>
        <w:tc>
          <w:tcPr>
            <w:tcW w:w="3593" w:type="dxa"/>
          </w:tcPr>
          <w:p>
            <w:pPr>
              <w:spacing w:line="520" w:lineRule="exact"/>
              <w:jc w:val="center"/>
              <w:rPr>
                <w:rFonts w:hint="eastAsia" w:ascii="宋体" w:hAnsi="宋体" w:eastAsia="宋体" w:cs="宋体"/>
                <w:color w:val="auto"/>
                <w:kern w:val="0"/>
                <w:sz w:val="24"/>
                <w:lang w:eastAsia="zh-CN"/>
              </w:rPr>
            </w:pPr>
            <w:r>
              <w:rPr>
                <w:rFonts w:hint="eastAsia" w:ascii="宋体" w:hAnsi="宋体" w:cs="宋体"/>
                <w:color w:val="auto"/>
                <w:kern w:val="0"/>
                <w:sz w:val="24"/>
                <w:szCs w:val="24"/>
              </w:rPr>
              <w:t>厦门路桥百城管理咨询有限公司</w:t>
            </w:r>
          </w:p>
        </w:tc>
        <w:tc>
          <w:tcPr>
            <w:tcW w:w="3676" w:type="dxa"/>
            <w:vAlign w:val="center"/>
          </w:tcPr>
          <w:p>
            <w:pPr>
              <w:spacing w:line="520" w:lineRule="exact"/>
              <w:jc w:val="center"/>
              <w:rPr>
                <w:rFonts w:hint="eastAsia" w:ascii="宋体" w:eastAsia="宋体"/>
                <w:color w:val="auto"/>
                <w:kern w:val="0"/>
                <w:sz w:val="24"/>
                <w:lang w:eastAsia="zh-CN"/>
              </w:rPr>
            </w:pPr>
            <w:r>
              <w:rPr>
                <w:rFonts w:hint="eastAsia" w:ascii="宋体" w:hAnsi="宋体" w:cs="宋体"/>
                <w:color w:val="auto"/>
                <w:kern w:val="0"/>
                <w:sz w:val="24"/>
                <w:lang w:eastAsia="zh-CN"/>
              </w:rPr>
              <w:t>厦门路桥百城管理咨询有限公司</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873" w:hRule="atLeast"/>
          <w:jc w:val="center"/>
        </w:trPr>
        <w:tc>
          <w:tcPr>
            <w:tcW w:w="9433" w:type="dxa"/>
            <w:gridSpan w:val="3"/>
            <w:tcBorders>
              <w:bottom w:val="thickThinSmallGap" w:color="auto" w:sz="12" w:space="0"/>
            </w:tcBorders>
          </w:tcPr>
          <w:p>
            <w:pPr>
              <w:spacing w:line="500" w:lineRule="exact"/>
              <w:rPr>
                <w:rFonts w:ascii="宋体"/>
                <w:color w:val="auto"/>
                <w:kern w:val="0"/>
                <w:sz w:val="24"/>
              </w:rPr>
            </w:pPr>
            <w:r>
              <w:rPr>
                <w:rFonts w:hint="eastAsia" w:ascii="宋体" w:hAnsi="宋体" w:cs="宋体"/>
                <w:color w:val="auto"/>
                <w:sz w:val="24"/>
              </w:rPr>
              <w:t>投标人须将相关的费用缴交至上表对应的账号，缴错账号而产生的一切后果由投标人自行承担。</w:t>
            </w:r>
          </w:p>
        </w:tc>
      </w:tr>
    </w:tbl>
    <w:p>
      <w:pPr>
        <w:spacing w:line="500" w:lineRule="exact"/>
        <w:ind w:right="360" w:firstLine="1320" w:firstLineChars="550"/>
        <w:jc w:val="right"/>
        <w:rPr>
          <w:rFonts w:hint="eastAsia" w:ascii="宋体" w:eastAsia="宋体"/>
          <w:color w:val="auto"/>
          <w:kern w:val="0"/>
          <w:sz w:val="24"/>
          <w:lang w:eastAsia="zh-CN"/>
        </w:rPr>
      </w:pPr>
      <w:r>
        <w:rPr>
          <w:rFonts w:hint="eastAsia" w:ascii="宋体" w:hAnsi="宋体" w:cs="宋体"/>
          <w:color w:val="auto"/>
          <w:kern w:val="0"/>
          <w:sz w:val="24"/>
          <w:lang w:eastAsia="zh-CN"/>
        </w:rPr>
        <w:t>厦门路桥百城管理咨询有限公司</w:t>
      </w:r>
    </w:p>
    <w:p>
      <w:pPr>
        <w:spacing w:line="500" w:lineRule="exact"/>
        <w:ind w:right="360" w:firstLine="1320" w:firstLineChars="550"/>
        <w:jc w:val="right"/>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2023年 1  月 6  日</w:t>
      </w:r>
    </w:p>
    <w:p>
      <w:pPr>
        <w:pStyle w:val="4"/>
        <w:pageBreakBefore/>
        <w:spacing w:before="0" w:after="0" w:line="360" w:lineRule="auto"/>
        <w:jc w:val="center"/>
        <w:rPr>
          <w:rFonts w:ascii="宋体" w:hAnsi="宋体" w:eastAsia="宋体"/>
          <w:color w:val="auto"/>
          <w:szCs w:val="18"/>
        </w:rPr>
      </w:pPr>
      <w:bookmarkStart w:id="13" w:name="_Toc24983"/>
      <w:r>
        <w:rPr>
          <w:rFonts w:ascii="宋体" w:hAnsi="宋体" w:eastAsia="宋体"/>
          <w:color w:val="auto"/>
        </w:rPr>
        <w:t>附：</w:t>
      </w:r>
      <w:bookmarkEnd w:id="11"/>
      <w:bookmarkEnd w:id="12"/>
      <w:r>
        <w:rPr>
          <w:rFonts w:hint="eastAsia" w:ascii="宋体" w:hAnsi="宋体" w:eastAsia="宋体"/>
          <w:color w:val="auto"/>
        </w:rPr>
        <w:t>招标项目一览表</w:t>
      </w:r>
      <w:bookmarkEnd w:id="13"/>
    </w:p>
    <w:tbl>
      <w:tblPr>
        <w:tblStyle w:val="41"/>
        <w:tblW w:w="9941"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1201"/>
        <w:gridCol w:w="2410"/>
        <w:gridCol w:w="708"/>
        <w:gridCol w:w="1882"/>
        <w:gridCol w:w="1900"/>
        <w:gridCol w:w="1840"/>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cantSplit/>
          <w:trHeight w:val="630" w:hRule="atLeast"/>
          <w:jc w:val="center"/>
        </w:trPr>
        <w:tc>
          <w:tcPr>
            <w:tcW w:w="1201" w:type="dxa"/>
            <w:tcBorders>
              <w:top w:val="thinThickSmallGap" w:color="auto" w:sz="18" w:space="0"/>
              <w:left w:val="thinThickSmallGap" w:color="auto" w:sz="18" w:space="0"/>
              <w:bottom w:val="single" w:color="auto" w:sz="6" w:space="0"/>
              <w:right w:val="single" w:color="auto" w:sz="6" w:space="0"/>
            </w:tcBorders>
            <w:vAlign w:val="center"/>
          </w:tcPr>
          <w:p>
            <w:pPr>
              <w:widowControl/>
              <w:spacing w:before="100" w:beforeAutospacing="1" w:after="100" w:afterAutospacing="1"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项目编号</w:t>
            </w:r>
          </w:p>
        </w:tc>
        <w:tc>
          <w:tcPr>
            <w:tcW w:w="2410" w:type="dxa"/>
            <w:tcBorders>
              <w:top w:val="thinThickSmallGap" w:color="auto" w:sz="18" w:space="0"/>
              <w:left w:val="single" w:color="auto" w:sz="6" w:space="0"/>
              <w:bottom w:val="single" w:color="auto" w:sz="6" w:space="0"/>
              <w:right w:val="single" w:color="auto" w:sz="6" w:space="0"/>
            </w:tcBorders>
            <w:tcMar>
              <w:top w:w="0" w:type="dxa"/>
              <w:left w:w="108" w:type="dxa"/>
              <w:bottom w:w="0" w:type="dxa"/>
              <w:right w:w="108" w:type="dxa"/>
            </w:tcMar>
            <w:vAlign w:val="center"/>
          </w:tcPr>
          <w:p>
            <w:pPr>
              <w:widowControl/>
              <w:spacing w:before="100" w:beforeAutospacing="1" w:after="100" w:afterAutospacing="1"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项目名称</w:t>
            </w:r>
          </w:p>
        </w:tc>
        <w:tc>
          <w:tcPr>
            <w:tcW w:w="708"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数量</w:t>
            </w:r>
          </w:p>
        </w:tc>
        <w:tc>
          <w:tcPr>
            <w:tcW w:w="1882"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招标内容及要求</w:t>
            </w:r>
          </w:p>
        </w:tc>
        <w:tc>
          <w:tcPr>
            <w:tcW w:w="1900" w:type="dxa"/>
            <w:tcBorders>
              <w:top w:val="thinThickSmallGap" w:color="auto" w:sz="18" w:space="0"/>
              <w:left w:val="single" w:color="auto" w:sz="6" w:space="0"/>
              <w:bottom w:val="single" w:color="auto" w:sz="6" w:space="0"/>
              <w:right w:val="single" w:color="auto" w:sz="6" w:space="0"/>
            </w:tcBorders>
            <w:vAlign w:val="center"/>
          </w:tcPr>
          <w:p>
            <w:pPr>
              <w:widowControl/>
              <w:spacing w:before="100" w:beforeAutospacing="1" w:after="100" w:afterAutospacing="1" w:line="360" w:lineRule="auto"/>
              <w:jc w:val="cente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履约地点</w:t>
            </w:r>
          </w:p>
        </w:tc>
        <w:tc>
          <w:tcPr>
            <w:tcW w:w="1840" w:type="dxa"/>
            <w:tcBorders>
              <w:top w:val="thinThickSmallGap" w:color="auto" w:sz="18" w:space="0"/>
              <w:left w:val="single" w:color="auto" w:sz="6" w:space="0"/>
              <w:bottom w:val="single" w:color="auto" w:sz="6" w:space="0"/>
              <w:right w:val="thickThinSmallGap" w:color="auto" w:sz="18" w:space="0"/>
            </w:tcBorders>
            <w:vAlign w:val="center"/>
          </w:tcPr>
          <w:p>
            <w:pPr>
              <w:widowControl/>
              <w:spacing w:before="100" w:beforeAutospacing="1" w:after="100" w:afterAutospacing="1" w:line="360" w:lineRule="auto"/>
              <w:jc w:val="center"/>
              <w:rPr>
                <w:rFonts w:hint="eastAsia" w:ascii="宋体" w:hAnsi="宋体" w:eastAsia="宋体" w:cs="宋体"/>
                <w:b/>
                <w:color w:val="auto"/>
                <w:kern w:val="0"/>
                <w:sz w:val="24"/>
                <w:highlight w:val="none"/>
              </w:rPr>
            </w:pPr>
            <w:r>
              <w:rPr>
                <w:rFonts w:hint="eastAsia" w:ascii="宋体" w:hAnsi="宋体" w:eastAsia="宋体" w:cs="宋体"/>
                <w:b/>
                <w:bCs/>
                <w:color w:val="auto"/>
                <w:kern w:val="0"/>
                <w:sz w:val="24"/>
                <w:highlight w:val="none"/>
              </w:rPr>
              <w:t>服务期</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PrEx>
        <w:trPr>
          <w:cantSplit/>
          <w:trHeight w:val="1143" w:hRule="atLeast"/>
          <w:jc w:val="center"/>
        </w:trPr>
        <w:tc>
          <w:tcPr>
            <w:tcW w:w="1201" w:type="dxa"/>
            <w:tcBorders>
              <w:top w:val="single" w:color="auto" w:sz="6" w:space="0"/>
              <w:left w:val="thinThickSmallGap" w:color="auto" w:sz="18" w:space="0"/>
              <w:bottom w:val="thickThinSmallGap" w:color="auto" w:sz="18" w:space="0"/>
              <w:right w:val="single" w:color="auto" w:sz="6" w:space="0"/>
            </w:tcBorders>
            <w:vAlign w:val="center"/>
          </w:tcPr>
          <w:p>
            <w:pPr>
              <w:spacing w:line="360" w:lineRule="auto"/>
              <w:jc w:val="center"/>
              <w:rPr>
                <w:rFonts w:hint="eastAsia" w:ascii="宋体" w:hAnsi="宋体" w:eastAsia="宋体" w:cs="宋体"/>
                <w:color w:val="auto"/>
                <w:kern w:val="0"/>
                <w:sz w:val="24"/>
                <w:highlight w:val="none"/>
                <w:lang w:eastAsia="zh-CN"/>
              </w:rPr>
            </w:pPr>
            <w:r>
              <w:rPr>
                <w:rFonts w:hint="eastAsia" w:ascii="宋体" w:hAnsi="宋体" w:cs="宋体"/>
                <w:b/>
                <w:color w:val="auto"/>
                <w:sz w:val="24"/>
                <w:highlight w:val="none"/>
                <w:lang w:eastAsia="zh-CN"/>
              </w:rPr>
              <w:t>HT2023-CG014</w:t>
            </w:r>
          </w:p>
        </w:tc>
        <w:tc>
          <w:tcPr>
            <w:tcW w:w="2410" w:type="dxa"/>
            <w:tcBorders>
              <w:top w:val="single" w:color="auto" w:sz="6" w:space="0"/>
              <w:left w:val="single" w:color="auto" w:sz="6" w:space="0"/>
              <w:bottom w:val="thickThinSmallGap" w:color="auto" w:sz="18" w:space="0"/>
              <w:right w:val="single" w:color="auto" w:sz="6"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2023年度码头智能化设施维养外包</w:t>
            </w:r>
          </w:p>
        </w:tc>
        <w:tc>
          <w:tcPr>
            <w:tcW w:w="708" w:type="dxa"/>
            <w:tcBorders>
              <w:top w:val="single" w:color="auto" w:sz="6" w:space="0"/>
              <w:left w:val="single" w:color="auto" w:sz="6" w:space="0"/>
              <w:bottom w:val="thickThinSmallGap" w:color="auto" w:sz="18" w:space="0"/>
              <w:right w:val="single" w:color="auto" w:sz="6" w:space="0"/>
            </w:tcBorders>
            <w:vAlign w:val="center"/>
          </w:tcPr>
          <w:p>
            <w:pPr>
              <w:spacing w:line="360" w:lineRule="auto"/>
              <w:ind w:left="-168" w:leftChars="-80" w:right="-155" w:rightChars="-74"/>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1项</w:t>
            </w:r>
          </w:p>
        </w:tc>
        <w:tc>
          <w:tcPr>
            <w:tcW w:w="1882" w:type="dxa"/>
            <w:tcBorders>
              <w:top w:val="single" w:color="auto" w:sz="6" w:space="0"/>
              <w:left w:val="single" w:color="auto" w:sz="6" w:space="0"/>
              <w:bottom w:val="thickThinSmallGap" w:color="auto" w:sz="18" w:space="0"/>
              <w:right w:val="single" w:color="auto" w:sz="6" w:space="0"/>
            </w:tcBorders>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详见“第三章招标内容及要求”</w:t>
            </w:r>
          </w:p>
        </w:tc>
        <w:tc>
          <w:tcPr>
            <w:tcW w:w="1900" w:type="dxa"/>
            <w:tcBorders>
              <w:top w:val="single" w:color="auto" w:sz="6" w:space="0"/>
              <w:left w:val="single" w:color="auto" w:sz="6" w:space="0"/>
              <w:bottom w:val="thickThinSmallGap" w:color="auto" w:sz="18" w:space="0"/>
              <w:right w:val="single" w:color="auto" w:sz="6" w:space="0"/>
            </w:tcBorders>
            <w:vAlign w:val="center"/>
          </w:tcPr>
          <w:p>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详见“第三章招标内容及要求”</w:t>
            </w:r>
          </w:p>
        </w:tc>
        <w:tc>
          <w:tcPr>
            <w:tcW w:w="1840" w:type="dxa"/>
            <w:tcBorders>
              <w:top w:val="single" w:color="auto" w:sz="6" w:space="0"/>
              <w:left w:val="single" w:color="auto" w:sz="6" w:space="0"/>
              <w:bottom w:val="thickThinSmallGap" w:color="auto" w:sz="18" w:space="0"/>
              <w:right w:val="thickThinSmallGap" w:color="auto" w:sz="18" w:space="0"/>
            </w:tcBorders>
            <w:vAlign w:val="center"/>
          </w:tcPr>
          <w:p>
            <w:pPr>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详见“第三章招标内容及要求”</w:t>
            </w:r>
          </w:p>
        </w:tc>
      </w:tr>
    </w:tbl>
    <w:p>
      <w:pPr>
        <w:spacing w:line="400" w:lineRule="exact"/>
        <w:ind w:firstLine="542" w:firstLineChars="225"/>
        <w:rPr>
          <w:rFonts w:ascii="宋体" w:hAnsi="宋体"/>
          <w:b/>
          <w:color w:val="auto"/>
          <w:sz w:val="24"/>
        </w:rPr>
      </w:pPr>
      <w:r>
        <w:rPr>
          <w:rFonts w:hint="eastAsia" w:ascii="宋体" w:hAnsi="宋体"/>
          <w:b/>
          <w:color w:val="auto"/>
          <w:sz w:val="24"/>
        </w:rPr>
        <w:t>注：本项目为整体招标，投标人对同一合同包内所有内容投标时必须完整。评标与授标以合同包为单位。</w:t>
      </w:r>
    </w:p>
    <w:p>
      <w:pPr>
        <w:pStyle w:val="3"/>
        <w:pageBreakBefore/>
        <w:spacing w:before="240" w:after="240" w:line="360" w:lineRule="auto"/>
        <w:jc w:val="center"/>
        <w:rPr>
          <w:rFonts w:ascii="宋体" w:hAnsi="宋体" w:eastAsia="宋体"/>
          <w:color w:val="auto"/>
        </w:rPr>
      </w:pPr>
      <w:bookmarkStart w:id="14" w:name="_Toc398504589"/>
      <w:bookmarkStart w:id="15" w:name="_Toc398284533"/>
      <w:bookmarkStart w:id="16" w:name="_Toc11341"/>
      <w:r>
        <w:rPr>
          <w:rFonts w:hint="eastAsia" w:ascii="宋体" w:hAnsi="宋体" w:eastAsia="宋体"/>
          <w:color w:val="auto"/>
        </w:rPr>
        <w:t>第二章　投标人须知</w:t>
      </w:r>
      <w:bookmarkEnd w:id="14"/>
      <w:bookmarkEnd w:id="15"/>
      <w:bookmarkEnd w:id="16"/>
    </w:p>
    <w:p>
      <w:pPr>
        <w:pStyle w:val="4"/>
        <w:spacing w:line="360" w:lineRule="auto"/>
        <w:jc w:val="center"/>
        <w:rPr>
          <w:rFonts w:ascii="宋体" w:hAnsi="宋体" w:eastAsia="宋体" w:cs="宋体"/>
          <w:color w:val="auto"/>
          <w:kern w:val="0"/>
          <w:sz w:val="18"/>
          <w:szCs w:val="18"/>
        </w:rPr>
      </w:pPr>
      <w:bookmarkStart w:id="17" w:name="_Toc398284534"/>
      <w:bookmarkStart w:id="18" w:name="_Toc398504590"/>
      <w:bookmarkStart w:id="19" w:name="_Toc862"/>
      <w:r>
        <w:rPr>
          <w:rFonts w:ascii="宋体" w:hAnsi="宋体" w:eastAsia="宋体"/>
          <w:color w:val="auto"/>
        </w:rPr>
        <w:t>投标人须知前附表1</w:t>
      </w:r>
      <w:bookmarkEnd w:id="17"/>
      <w:bookmarkEnd w:id="18"/>
      <w:r>
        <w:rPr>
          <w:rFonts w:ascii="宋体" w:hAnsi="宋体" w:eastAsia="宋体" w:cs="宋体"/>
          <w:color w:val="auto"/>
          <w:kern w:val="0"/>
          <w:sz w:val="18"/>
          <w:szCs w:val="18"/>
        </w:rPr>
        <w:t> </w:t>
      </w:r>
      <w:bookmarkEnd w:id="19"/>
    </w:p>
    <w:p>
      <w:pPr>
        <w:tabs>
          <w:tab w:val="left" w:pos="1080"/>
        </w:tabs>
        <w:spacing w:line="360" w:lineRule="auto"/>
        <w:ind w:firstLine="480" w:firstLineChars="200"/>
        <w:rPr>
          <w:rFonts w:ascii="宋体" w:hAnsi="宋体"/>
          <w:color w:val="auto"/>
          <w:sz w:val="24"/>
        </w:rPr>
      </w:pPr>
      <w:r>
        <w:rPr>
          <w:rFonts w:ascii="宋体" w:hAnsi="宋体"/>
          <w:color w:val="auto"/>
          <w:sz w:val="24"/>
        </w:rPr>
        <w:t>本须知前附表1</w:t>
      </w:r>
      <w:r>
        <w:rPr>
          <w:rFonts w:hint="eastAsia" w:ascii="宋体" w:hAnsi="宋体"/>
          <w:color w:val="auto"/>
          <w:sz w:val="24"/>
        </w:rPr>
        <w:t>的内容是与《投标人须知》中条款的内容对应的</w:t>
      </w:r>
      <w:r>
        <w:rPr>
          <w:rFonts w:ascii="宋体" w:hAnsi="宋体"/>
          <w:color w:val="auto"/>
          <w:sz w:val="24"/>
        </w:rPr>
        <w:t>。如果有矛盾的话，应以本附表为准。</w:t>
      </w:r>
    </w:p>
    <w:tbl>
      <w:tblPr>
        <w:tblStyle w:val="41"/>
        <w:tblW w:w="9253"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867"/>
        <w:gridCol w:w="1051"/>
        <w:gridCol w:w="7335"/>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07"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项号</w:t>
            </w:r>
          </w:p>
        </w:tc>
        <w:tc>
          <w:tcPr>
            <w:tcW w:w="1051"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条款号</w:t>
            </w:r>
          </w:p>
        </w:tc>
        <w:tc>
          <w:tcPr>
            <w:tcW w:w="7335" w:type="dxa"/>
            <w:tcMar>
              <w:top w:w="0" w:type="dxa"/>
              <w:left w:w="108" w:type="dxa"/>
              <w:bottom w:w="0" w:type="dxa"/>
              <w:right w:w="108" w:type="dxa"/>
            </w:tcMar>
            <w:vAlign w:val="center"/>
          </w:tcPr>
          <w:p>
            <w:pPr>
              <w:spacing w:line="360" w:lineRule="auto"/>
              <w:jc w:val="center"/>
              <w:rPr>
                <w:rFonts w:ascii="宋体" w:hAnsi="宋体"/>
                <w:b/>
                <w:color w:val="auto"/>
                <w:sz w:val="24"/>
              </w:rPr>
            </w:pPr>
            <w:r>
              <w:rPr>
                <w:rFonts w:ascii="宋体" w:hAnsi="宋体"/>
                <w:b/>
                <w:color w:val="auto"/>
                <w:sz w:val="24"/>
              </w:rPr>
              <w:t>编   列   内    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ascii="宋体" w:hAnsi="宋体"/>
                <w:color w:val="auto"/>
                <w:sz w:val="24"/>
              </w:rPr>
              <w:t>1</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335" w:type="dxa"/>
            <w:tcMar>
              <w:top w:w="0" w:type="dxa"/>
              <w:left w:w="108" w:type="dxa"/>
              <w:bottom w:w="0" w:type="dxa"/>
              <w:right w:w="108" w:type="dxa"/>
            </w:tcMar>
            <w:vAlign w:val="center"/>
          </w:tcPr>
          <w:p>
            <w:pP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项目名称：</w:t>
            </w:r>
            <w:r>
              <w:rPr>
                <w:rFonts w:hint="eastAsia" w:ascii="宋体" w:hAnsi="宋体" w:cs="宋体"/>
                <w:color w:val="auto"/>
                <w:kern w:val="0"/>
                <w:sz w:val="24"/>
                <w:highlight w:val="none"/>
                <w:lang w:eastAsia="zh-CN"/>
              </w:rPr>
              <w:t>2023年度码头智能化设施维养外包</w:t>
            </w:r>
          </w:p>
          <w:p>
            <w:pP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招标人名称：</w:t>
            </w:r>
            <w:r>
              <w:rPr>
                <w:rFonts w:hint="eastAsia" w:ascii="宋体" w:hAnsi="宋体" w:cs="宋体"/>
                <w:color w:val="auto"/>
                <w:sz w:val="24"/>
                <w:highlight w:val="none"/>
                <w:lang w:eastAsia="zh-CN"/>
              </w:rPr>
              <w:t>厦门五缘游艇文化发展有限公司</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项目内容：详见“附：招标项目一览表”及第三章</w:t>
            </w:r>
          </w:p>
          <w:p>
            <w:pPr>
              <w:spacing w:line="360" w:lineRule="auto"/>
              <w:rPr>
                <w:rFonts w:hint="default" w:ascii="宋体" w:hAnsi="宋体" w:eastAsia="宋体"/>
                <w:color w:val="auto"/>
                <w:sz w:val="24"/>
                <w:lang w:val="en-US" w:eastAsia="zh-CN"/>
              </w:rPr>
            </w:pPr>
            <w:r>
              <w:rPr>
                <w:rFonts w:hint="eastAsia" w:ascii="宋体" w:hAnsi="宋体" w:eastAsia="宋体" w:cs="宋体"/>
                <w:color w:val="auto"/>
                <w:sz w:val="24"/>
                <w:highlight w:val="none"/>
              </w:rPr>
              <w:t>招标编号：</w:t>
            </w:r>
            <w:r>
              <w:rPr>
                <w:rFonts w:hint="eastAsia" w:ascii="宋体" w:hAnsi="宋体" w:cs="宋体"/>
                <w:color w:val="auto"/>
                <w:sz w:val="24"/>
                <w:highlight w:val="none"/>
                <w:lang w:eastAsia="zh-CN"/>
              </w:rPr>
              <w:t>HT2023-CG014</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2</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eastAsia="宋体" w:cs="宋体"/>
                <w:b/>
                <w:color w:val="auto"/>
                <w:sz w:val="24"/>
                <w:highlight w:val="none"/>
              </w:rPr>
              <w:t>本项目最高含税限价为：人民币</w:t>
            </w:r>
            <w:r>
              <w:rPr>
                <w:rFonts w:hint="eastAsia" w:ascii="宋体" w:hAnsi="宋体" w:cs="宋体"/>
                <w:b/>
                <w:color w:val="auto"/>
                <w:sz w:val="24"/>
                <w:highlight w:val="none"/>
                <w:lang w:val="en-US" w:eastAsia="zh-CN"/>
              </w:rPr>
              <w:t>45</w:t>
            </w:r>
            <w:r>
              <w:rPr>
                <w:rFonts w:hint="eastAsia" w:ascii="宋体" w:hAnsi="宋体" w:eastAsia="宋体" w:cs="宋体"/>
                <w:b/>
                <w:color w:val="auto"/>
                <w:sz w:val="24"/>
                <w:highlight w:val="none"/>
              </w:rPr>
              <w:t>万元</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3"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3</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ascii="宋体" w:hAnsi="宋体"/>
                <w:color w:val="auto"/>
                <w:sz w:val="24"/>
              </w:rPr>
              <w:t>3</w:t>
            </w: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eastAsia="宋体" w:cs="宋体"/>
                <w:color w:val="auto"/>
                <w:sz w:val="24"/>
                <w:highlight w:val="none"/>
              </w:rPr>
              <w:t>资格标准：</w:t>
            </w:r>
            <w:r>
              <w:rPr>
                <w:rFonts w:hint="eastAsia" w:ascii="宋体" w:hAnsi="宋体" w:eastAsia="宋体" w:cs="宋体"/>
                <w:color w:val="auto"/>
                <w:spacing w:val="-4"/>
                <w:sz w:val="24"/>
                <w:szCs w:val="28"/>
                <w:highlight w:val="none"/>
              </w:rPr>
              <w:t>详见</w:t>
            </w:r>
            <w:r>
              <w:rPr>
                <w:rFonts w:hint="eastAsia" w:ascii="宋体" w:hAnsi="宋体" w:eastAsia="宋体" w:cs="宋体"/>
                <w:color w:val="auto"/>
                <w:sz w:val="24"/>
                <w:highlight w:val="none"/>
              </w:rPr>
              <w:t>第三章“资格要求”规定。投标人不具备投标资格，不满足招标文件所规定的资格标准，或者其提供的资格证明文件不全的,其投标将被拒绝。</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70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4</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rPr>
              <w:t>投标文件提交地址：详见《第一章 投标邀请》</w:t>
            </w:r>
          </w:p>
          <w:p>
            <w:pPr>
              <w:spacing w:line="360" w:lineRule="auto"/>
              <w:rPr>
                <w:rFonts w:ascii="宋体" w:hAnsi="宋体"/>
                <w:color w:val="auto"/>
                <w:sz w:val="24"/>
              </w:rPr>
            </w:pPr>
            <w:r>
              <w:rPr>
                <w:rFonts w:hint="eastAsia" w:ascii="宋体" w:hAnsi="宋体"/>
                <w:color w:val="auto"/>
                <w:sz w:val="24"/>
              </w:rPr>
              <w:t>投标截止时间：详见《第一章 投标邀请》</w:t>
            </w:r>
          </w:p>
          <w:p>
            <w:pPr>
              <w:spacing w:line="360" w:lineRule="auto"/>
              <w:rPr>
                <w:rFonts w:ascii="宋体" w:hAnsi="宋体"/>
                <w:color w:val="auto"/>
                <w:sz w:val="24"/>
              </w:rPr>
            </w:pPr>
            <w:r>
              <w:rPr>
                <w:rFonts w:hint="eastAsia" w:ascii="宋体" w:hAnsi="宋体"/>
                <w:color w:val="auto"/>
                <w:sz w:val="24"/>
              </w:rPr>
              <w:t>在投标截止时间后提交的投标文件，招标代理机构将不予接收。</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65"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5</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12</w:t>
            </w: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ascii="宋体" w:hAnsi="宋体"/>
                <w:color w:val="auto"/>
                <w:sz w:val="24"/>
              </w:rPr>
              <w:t>投标保证金</w:t>
            </w:r>
            <w:r>
              <w:rPr>
                <w:rFonts w:hint="eastAsia" w:ascii="宋体" w:hAnsi="宋体"/>
                <w:color w:val="auto"/>
                <w:sz w:val="24"/>
              </w:rPr>
              <w:t>：</w:t>
            </w:r>
            <w:r>
              <w:rPr>
                <w:rFonts w:hint="eastAsia" w:ascii="宋体" w:hAnsi="宋体"/>
                <w:b/>
                <w:color w:val="auto"/>
                <w:sz w:val="24"/>
              </w:rPr>
              <w:t>人民币</w:t>
            </w:r>
            <w:r>
              <w:rPr>
                <w:rFonts w:hint="eastAsia" w:ascii="宋体" w:hAnsi="宋体"/>
                <w:b/>
                <w:color w:val="auto"/>
                <w:sz w:val="24"/>
                <w:lang w:val="en-US" w:eastAsia="zh-CN"/>
              </w:rPr>
              <w:t>玖仟</w:t>
            </w:r>
            <w:r>
              <w:rPr>
                <w:rFonts w:hint="eastAsia" w:ascii="宋体" w:hAnsi="宋体"/>
                <w:b/>
                <w:color w:val="auto"/>
                <w:sz w:val="24"/>
              </w:rPr>
              <w:t>元整</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1、投标保证金应以投标人名义以转账、电汇等形式提交；并在银行受理单据上标明招标编号，在用途一栏上注明“保证金”等相关信息。</w:t>
            </w:r>
            <w:r>
              <w:rPr>
                <w:rFonts w:hint="eastAsia" w:ascii="宋体" w:hAnsi="宋体"/>
                <w:color w:val="auto"/>
                <w:sz w:val="24"/>
                <w:lang w:eastAsia="zh-CN"/>
              </w:rPr>
              <w:t>投标人</w:t>
            </w:r>
            <w:r>
              <w:rPr>
                <w:rFonts w:hint="eastAsia" w:ascii="宋体" w:hAnsi="宋体"/>
                <w:color w:val="auto"/>
                <w:sz w:val="24"/>
              </w:rPr>
              <w:t>为联合体的，可以由联合体中的一方或者多方共同交纳投标保证金，其交纳的投标保证金对联合体各方均具有约束力。</w:t>
            </w:r>
          </w:p>
          <w:p>
            <w:pPr>
              <w:spacing w:line="360" w:lineRule="auto"/>
              <w:rPr>
                <w:rFonts w:ascii="宋体" w:hAnsi="宋体"/>
                <w:color w:val="auto"/>
                <w:sz w:val="24"/>
              </w:rPr>
            </w:pPr>
            <w:r>
              <w:rPr>
                <w:rFonts w:hint="eastAsia" w:ascii="宋体" w:hAnsi="宋体"/>
                <w:color w:val="auto"/>
                <w:sz w:val="24"/>
              </w:rPr>
              <w:t>2、招标代理机构不接受在投标现场缴交现金或以投标人名义现金缴款单等形式提交投标保证金。</w:t>
            </w:r>
          </w:p>
          <w:p>
            <w:pPr>
              <w:spacing w:line="360" w:lineRule="auto"/>
              <w:rPr>
                <w:rFonts w:ascii="宋体" w:hAnsi="宋体"/>
                <w:color w:val="auto"/>
                <w:sz w:val="24"/>
              </w:rPr>
            </w:pPr>
            <w:r>
              <w:rPr>
                <w:rFonts w:hint="eastAsia" w:ascii="宋体" w:hAnsi="宋体"/>
                <w:color w:val="auto"/>
                <w:sz w:val="24"/>
              </w:rPr>
              <w:t>3、投标保证金必须在投标截止时间前到达《第一章 投标邀请》中的指定账号，缴错账号而产生的一切后果由投标人自行承担。</w:t>
            </w:r>
          </w:p>
          <w:p>
            <w:pPr>
              <w:spacing w:line="360" w:lineRule="auto"/>
              <w:rPr>
                <w:rFonts w:ascii="宋体" w:hAnsi="宋体"/>
                <w:color w:val="auto"/>
                <w:sz w:val="24"/>
              </w:rPr>
            </w:pPr>
            <w:r>
              <w:rPr>
                <w:rFonts w:hint="eastAsia" w:ascii="宋体" w:hAnsi="宋体"/>
                <w:color w:val="auto"/>
                <w:sz w:val="24"/>
              </w:rPr>
              <w:t>4、</w:t>
            </w:r>
            <w:r>
              <w:rPr>
                <w:rFonts w:hint="eastAsia" w:ascii="宋体" w:hAnsi="宋体" w:cs="宋体"/>
                <w:color w:val="auto"/>
                <w:sz w:val="24"/>
              </w:rPr>
              <w:t>项目招标结束后，招标代理机构将根据相关规定将投标保证金退回原账号。</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60"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6</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p>
        </w:tc>
        <w:tc>
          <w:tcPr>
            <w:tcW w:w="7335" w:type="dxa"/>
            <w:tcMar>
              <w:top w:w="0" w:type="dxa"/>
              <w:left w:w="108" w:type="dxa"/>
              <w:bottom w:w="0" w:type="dxa"/>
              <w:right w:w="108" w:type="dxa"/>
            </w:tcMar>
          </w:tcPr>
          <w:p>
            <w:pPr>
              <w:spacing w:line="360" w:lineRule="auto"/>
              <w:rPr>
                <w:rFonts w:ascii="宋体" w:hAnsi="宋体"/>
                <w:color w:val="auto"/>
                <w:sz w:val="24"/>
              </w:rPr>
            </w:pPr>
            <w:r>
              <w:rPr>
                <w:rFonts w:ascii="宋体" w:hAnsi="宋体"/>
                <w:color w:val="auto"/>
                <w:sz w:val="24"/>
              </w:rPr>
              <w:t>评标方法、标准及定标原则</w:t>
            </w:r>
            <w:r>
              <w:rPr>
                <w:rFonts w:hint="eastAsia" w:ascii="宋体" w:hAnsi="宋体"/>
                <w:color w:val="auto"/>
                <w:sz w:val="24"/>
              </w:rPr>
              <w:t>：</w:t>
            </w:r>
            <w:r>
              <w:rPr>
                <w:rFonts w:ascii="宋体" w:hAnsi="宋体"/>
                <w:color w:val="auto"/>
                <w:sz w:val="24"/>
              </w:rPr>
              <w:t>详见</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291"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7</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12.2</w:t>
            </w: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lang w:val="en-US" w:eastAsia="zh-CN"/>
              </w:rPr>
              <w:t>1、</w:t>
            </w:r>
            <w:r>
              <w:rPr>
                <w:rFonts w:hint="eastAsia" w:ascii="宋体" w:hAnsi="宋体"/>
                <w:color w:val="auto"/>
                <w:sz w:val="24"/>
              </w:rPr>
              <w:t>招标代理服务费：</w:t>
            </w:r>
          </w:p>
          <w:p>
            <w:pPr>
              <w:spacing w:line="360" w:lineRule="auto"/>
              <w:rPr>
                <w:rFonts w:hint="eastAsia" w:ascii="宋体" w:hAnsi="宋体"/>
                <w:color w:val="auto"/>
                <w:sz w:val="24"/>
              </w:rPr>
            </w:pPr>
            <w:r>
              <w:rPr>
                <w:rFonts w:hint="eastAsia" w:ascii="宋体" w:hAnsi="宋体"/>
                <w:color w:val="auto"/>
                <w:sz w:val="24"/>
              </w:rPr>
              <w:t>招标代理机构根据国家计委《关于印发招标代理服务收费管理暂行办法的通知》（计价格[2002]1980号）文件规定，按以下标准的70%向中标人收取招标代理服务费，并按差额定率累进法计费，收费具体标准如下。</w:t>
            </w:r>
          </w:p>
          <w:p>
            <w:pPr>
              <w:spacing w:line="360" w:lineRule="auto"/>
              <w:rPr>
                <w:rFonts w:ascii="宋体" w:hAnsi="宋体"/>
                <w:color w:val="auto"/>
                <w:sz w:val="24"/>
              </w:rPr>
            </w:pPr>
            <w:r>
              <w:rPr>
                <w:rFonts w:hint="eastAsia" w:ascii="宋体" w:hAnsi="宋体"/>
                <w:color w:val="auto"/>
                <w:sz w:val="24"/>
              </w:rPr>
              <w:t>具体标准如下：</w:t>
            </w:r>
          </w:p>
          <w:tbl>
            <w:tblPr>
              <w:tblStyle w:val="41"/>
              <w:tblW w:w="4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4"/>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2" w:hRule="atLeast"/>
                <w:jc w:val="center"/>
              </w:trPr>
              <w:tc>
                <w:tcPr>
                  <w:tcW w:w="3204" w:type="dxa"/>
                  <w:tcBorders>
                    <w:tl2br w:val="single" w:color="auto" w:sz="4" w:space="0"/>
                  </w:tcBorders>
                </w:tcPr>
                <w:p>
                  <w:pPr>
                    <w:spacing w:line="360" w:lineRule="auto"/>
                    <w:ind w:firstLine="1920" w:firstLineChars="800"/>
                    <w:rPr>
                      <w:rFonts w:ascii="宋体" w:hAnsi="宋体"/>
                      <w:color w:val="auto"/>
                      <w:sz w:val="24"/>
                    </w:rPr>
                  </w:pPr>
                  <w:r>
                    <w:rPr>
                      <w:rFonts w:hint="eastAsia" w:ascii="宋体" w:hAnsi="宋体"/>
                      <w:color w:val="auto"/>
                      <w:sz w:val="24"/>
                    </w:rPr>
                    <w:t>项目类别</w:t>
                  </w:r>
                </w:p>
                <w:p>
                  <w:pPr>
                    <w:spacing w:line="360" w:lineRule="auto"/>
                    <w:rPr>
                      <w:rFonts w:ascii="宋体" w:hAnsi="宋体"/>
                      <w:color w:val="auto"/>
                      <w:sz w:val="24"/>
                    </w:rPr>
                  </w:pPr>
                  <w:r>
                    <w:rPr>
                      <w:rFonts w:hint="eastAsia" w:ascii="宋体" w:hAnsi="宋体"/>
                      <w:color w:val="auto"/>
                      <w:sz w:val="24"/>
                    </w:rPr>
                    <w:t>各基数段</w:t>
                  </w:r>
                </w:p>
              </w:tc>
              <w:tc>
                <w:tcPr>
                  <w:tcW w:w="1660" w:type="dxa"/>
                  <w:vAlign w:val="center"/>
                </w:tcPr>
                <w:p>
                  <w:pPr>
                    <w:spacing w:line="360" w:lineRule="auto"/>
                    <w:jc w:val="center"/>
                    <w:rPr>
                      <w:rFonts w:ascii="宋体" w:hAnsi="宋体"/>
                      <w:color w:val="auto"/>
                      <w:sz w:val="24"/>
                    </w:rPr>
                  </w:pPr>
                  <w:r>
                    <w:rPr>
                      <w:rFonts w:hint="eastAsia" w:ascii="宋体" w:hAnsi="宋体"/>
                      <w:color w:val="auto"/>
                      <w:sz w:val="24"/>
                    </w:rPr>
                    <w:sym w:font="Wingdings 2" w:char="0052"/>
                  </w:r>
                  <w:r>
                    <w:rPr>
                      <w:rFonts w:hint="eastAsia" w:ascii="宋体" w:hAnsi="宋体"/>
                      <w:color w:val="auto"/>
                      <w:sz w:val="24"/>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204" w:type="dxa"/>
                  <w:vAlign w:val="center"/>
                </w:tcPr>
                <w:p>
                  <w:pPr>
                    <w:spacing w:line="360" w:lineRule="auto"/>
                    <w:jc w:val="center"/>
                    <w:rPr>
                      <w:rFonts w:ascii="宋体" w:hAnsi="宋体"/>
                      <w:color w:val="auto"/>
                      <w:sz w:val="24"/>
                    </w:rPr>
                  </w:pPr>
                  <w:r>
                    <w:rPr>
                      <w:rFonts w:hint="eastAsia" w:ascii="宋体" w:hAnsi="宋体"/>
                      <w:color w:val="auto"/>
                      <w:sz w:val="24"/>
                    </w:rPr>
                    <w:t>（</w:t>
                  </w:r>
                  <w:r>
                    <w:rPr>
                      <w:rFonts w:ascii="宋体" w:hAnsi="宋体"/>
                      <w:color w:val="auto"/>
                      <w:sz w:val="24"/>
                    </w:rPr>
                    <w:t>0</w:t>
                  </w:r>
                  <w:r>
                    <w:rPr>
                      <w:rFonts w:hint="eastAsia" w:ascii="宋体" w:hAnsi="宋体"/>
                      <w:color w:val="auto"/>
                      <w:sz w:val="24"/>
                    </w:rPr>
                    <w:t>，100万元</w:t>
                  </w:r>
                  <w:r>
                    <w:rPr>
                      <w:rFonts w:ascii="宋体" w:hAnsi="宋体"/>
                      <w:color w:val="auto"/>
                      <w:sz w:val="24"/>
                    </w:rPr>
                    <w:t>]</w:t>
                  </w:r>
                </w:p>
              </w:tc>
              <w:tc>
                <w:tcPr>
                  <w:tcW w:w="1660" w:type="dxa"/>
                  <w:vAlign w:val="center"/>
                </w:tcPr>
                <w:p>
                  <w:pPr>
                    <w:spacing w:line="360" w:lineRule="auto"/>
                    <w:jc w:val="center"/>
                    <w:rPr>
                      <w:rFonts w:ascii="宋体" w:hAnsi="宋体" w:cs="宋体"/>
                      <w:color w:val="auto"/>
                      <w:sz w:val="24"/>
                    </w:rPr>
                  </w:pPr>
                  <w:r>
                    <w:rPr>
                      <w:rFonts w:hint="eastAsia" w:ascii="宋体" w:hAnsi="宋体"/>
                      <w:color w:val="auto"/>
                      <w:sz w:val="24"/>
                    </w:rPr>
                    <w:t>1.50%</w:t>
                  </w:r>
                </w:p>
              </w:tc>
            </w:tr>
          </w:tbl>
          <w:p>
            <w:pPr>
              <w:spacing w:line="360" w:lineRule="auto"/>
              <w:rPr>
                <w:rFonts w:hint="default" w:ascii="宋体" w:hAnsi="宋体"/>
                <w:color w:val="auto"/>
                <w:sz w:val="24"/>
                <w:lang w:val="en-US" w:eastAsia="zh-CN"/>
              </w:rPr>
            </w:pPr>
            <w:r>
              <w:rPr>
                <w:rFonts w:hint="eastAsia" w:ascii="宋体" w:hAnsi="宋体"/>
                <w:color w:val="auto"/>
                <w:sz w:val="24"/>
                <w:lang w:val="en-US" w:eastAsia="zh-CN"/>
              </w:rPr>
              <w:t>注：代理费不足3000元的按3000元计取。</w:t>
            </w:r>
          </w:p>
          <w:p>
            <w:pPr>
              <w:spacing w:line="360" w:lineRule="auto"/>
              <w:rPr>
                <w:rFonts w:ascii="宋体" w:hAnsi="宋体"/>
                <w:color w:val="auto"/>
                <w:sz w:val="24"/>
              </w:rPr>
            </w:pPr>
            <w:r>
              <w:rPr>
                <w:rFonts w:hint="eastAsia" w:ascii="宋体" w:hAnsi="宋体"/>
                <w:color w:val="auto"/>
                <w:sz w:val="24"/>
                <w:lang w:val="en-US" w:eastAsia="zh-CN"/>
              </w:rPr>
              <w:t>2</w:t>
            </w:r>
            <w:r>
              <w:rPr>
                <w:rFonts w:hint="eastAsia" w:ascii="宋体" w:hAnsi="宋体"/>
                <w:color w:val="auto"/>
                <w:sz w:val="24"/>
                <w:lang w:eastAsia="zh-CN"/>
              </w:rPr>
              <w:t>、</w:t>
            </w:r>
            <w:r>
              <w:rPr>
                <w:rFonts w:hint="eastAsia" w:ascii="宋体" w:hAnsi="宋体"/>
                <w:color w:val="auto"/>
                <w:sz w:val="24"/>
              </w:rPr>
              <w:t>招标代理服务费由中标人在领取中标通知书的同时，以转账、电汇、现金存款等付款方式一次性缴清。</w:t>
            </w:r>
          </w:p>
          <w:p>
            <w:pPr>
              <w:spacing w:line="360" w:lineRule="auto"/>
              <w:rPr>
                <w:rFonts w:ascii="宋体" w:hAnsi="宋体"/>
                <w:color w:val="auto"/>
                <w:sz w:val="24"/>
              </w:rPr>
            </w:pPr>
            <w:r>
              <w:rPr>
                <w:rFonts w:hint="eastAsia" w:ascii="宋体" w:hAnsi="宋体"/>
                <w:color w:val="auto"/>
                <w:sz w:val="24"/>
                <w:lang w:val="en-US" w:eastAsia="zh-CN"/>
              </w:rPr>
              <w:t>3</w:t>
            </w:r>
            <w:r>
              <w:rPr>
                <w:rFonts w:hint="eastAsia" w:ascii="宋体" w:hAnsi="宋体"/>
                <w:color w:val="auto"/>
                <w:sz w:val="24"/>
              </w:rPr>
              <w:t>、服务费缴交账号详见《第一章 投标邀请》。</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52" w:hRule="atLeast"/>
          <w:jc w:val="center"/>
        </w:trPr>
        <w:tc>
          <w:tcPr>
            <w:tcW w:w="867"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8</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13.1</w:t>
            </w:r>
          </w:p>
          <w:p>
            <w:pPr>
              <w:spacing w:line="360" w:lineRule="auto"/>
              <w:jc w:val="center"/>
              <w:rPr>
                <w:rFonts w:ascii="宋体" w:hAnsi="宋体"/>
                <w:color w:val="auto"/>
                <w:sz w:val="24"/>
              </w:rPr>
            </w:pPr>
            <w:r>
              <w:rPr>
                <w:rFonts w:hint="eastAsia" w:ascii="宋体" w:hAnsi="宋体"/>
                <w:color w:val="auto"/>
                <w:sz w:val="24"/>
              </w:rPr>
              <w:t>14.1</w:t>
            </w:r>
          </w:p>
        </w:tc>
        <w:tc>
          <w:tcPr>
            <w:tcW w:w="7335" w:type="dxa"/>
            <w:tcMar>
              <w:top w:w="0" w:type="dxa"/>
              <w:left w:w="108" w:type="dxa"/>
              <w:bottom w:w="0" w:type="dxa"/>
              <w:right w:w="108" w:type="dxa"/>
            </w:tcMar>
            <w:vAlign w:val="center"/>
          </w:tcPr>
          <w:p>
            <w:pPr>
              <w:spacing w:line="360" w:lineRule="auto"/>
              <w:rPr>
                <w:rFonts w:ascii="宋体" w:hAnsi="宋体"/>
                <w:color w:val="auto"/>
                <w:sz w:val="24"/>
              </w:rPr>
            </w:pPr>
            <w:r>
              <w:rPr>
                <w:rFonts w:hint="eastAsia" w:ascii="宋体" w:hAnsi="宋体"/>
                <w:color w:val="auto"/>
                <w:sz w:val="24"/>
              </w:rPr>
              <w:t>投标人需提交投标文件正本一份，副本二份及投标文件电子档一份（可采用U盘形式）。投标文件正本和副本分别密封，电子档文件与投标文件正本一同密封。封面需注明</w:t>
            </w:r>
            <w:r>
              <w:rPr>
                <w:rFonts w:ascii="宋体" w:hAnsi="宋体"/>
                <w:color w:val="auto"/>
                <w:sz w:val="24"/>
              </w:rPr>
              <w:t>“正本”或“副本”字样</w:t>
            </w:r>
            <w:r>
              <w:rPr>
                <w:rFonts w:hint="eastAsia" w:ascii="宋体" w:hAnsi="宋体"/>
                <w:color w:val="auto"/>
                <w:sz w:val="24"/>
              </w:rPr>
              <w:t>，</w:t>
            </w:r>
            <w:r>
              <w:rPr>
                <w:rFonts w:ascii="宋体" w:hAnsi="宋体"/>
                <w:color w:val="auto"/>
                <w:sz w:val="24"/>
              </w:rPr>
              <w:t>并标明</w:t>
            </w:r>
            <w:r>
              <w:rPr>
                <w:rFonts w:hint="eastAsia" w:ascii="宋体" w:hAnsi="宋体"/>
                <w:color w:val="auto"/>
                <w:sz w:val="24"/>
              </w:rPr>
              <w:t>：</w:t>
            </w:r>
          </w:p>
          <w:p>
            <w:pPr>
              <w:pStyle w:val="86"/>
              <w:numPr>
                <w:ilvl w:val="0"/>
                <w:numId w:val="3"/>
              </w:numPr>
              <w:spacing w:line="360" w:lineRule="auto"/>
              <w:ind w:firstLineChars="0"/>
              <w:rPr>
                <w:rFonts w:ascii="宋体" w:hAnsi="宋体"/>
                <w:color w:val="auto"/>
                <w:sz w:val="24"/>
              </w:rPr>
            </w:pPr>
            <w:r>
              <w:rPr>
                <w:rFonts w:hint="eastAsia" w:ascii="宋体" w:hAnsi="宋体"/>
                <w:color w:val="auto"/>
                <w:sz w:val="24"/>
              </w:rPr>
              <w:t>招标编号：</w:t>
            </w:r>
          </w:p>
          <w:p>
            <w:pPr>
              <w:pStyle w:val="86"/>
              <w:numPr>
                <w:ilvl w:val="0"/>
                <w:numId w:val="3"/>
              </w:numPr>
              <w:spacing w:line="360" w:lineRule="auto"/>
              <w:ind w:firstLineChars="0"/>
              <w:rPr>
                <w:rFonts w:ascii="宋体" w:hAnsi="宋体"/>
                <w:color w:val="auto"/>
                <w:sz w:val="24"/>
              </w:rPr>
            </w:pPr>
            <w:r>
              <w:rPr>
                <w:rFonts w:hint="eastAsia" w:ascii="宋体" w:hAnsi="宋体"/>
                <w:color w:val="auto"/>
                <w:sz w:val="24"/>
              </w:rPr>
              <w:t>投标人名称：</w:t>
            </w:r>
          </w:p>
          <w:p>
            <w:pPr>
              <w:pStyle w:val="86"/>
              <w:numPr>
                <w:ilvl w:val="0"/>
                <w:numId w:val="3"/>
              </w:numPr>
              <w:spacing w:line="360" w:lineRule="auto"/>
              <w:ind w:firstLineChars="0"/>
              <w:rPr>
                <w:rFonts w:ascii="宋体" w:hAnsi="宋体"/>
                <w:color w:val="auto"/>
                <w:sz w:val="24"/>
              </w:rPr>
            </w:pPr>
            <w:r>
              <w:rPr>
                <w:rFonts w:hint="eastAsia" w:ascii="宋体" w:hAnsi="宋体"/>
                <w:color w:val="auto"/>
                <w:sz w:val="24"/>
              </w:rPr>
              <w:t>投标项目名称：</w:t>
            </w:r>
          </w:p>
          <w:p>
            <w:pPr>
              <w:pStyle w:val="86"/>
              <w:spacing w:line="360" w:lineRule="auto"/>
              <w:ind w:left="720" w:firstLine="0" w:firstLineChars="0"/>
              <w:rPr>
                <w:rFonts w:ascii="宋体" w:hAnsi="宋体"/>
                <w:color w:val="auto"/>
                <w:sz w:val="24"/>
                <w:u w:val="single"/>
              </w:rPr>
            </w:pPr>
            <w:r>
              <w:rPr>
                <w:rFonts w:hint="eastAsia" w:ascii="宋体" w:hAnsi="宋体"/>
                <w:color w:val="auto"/>
                <w:sz w:val="24"/>
              </w:rPr>
              <w:t>在</w:t>
            </w:r>
            <w:r>
              <w:rPr>
                <w:rFonts w:hint="eastAsia" w:ascii="宋体" w:hAnsi="宋体"/>
                <w:color w:val="auto"/>
                <w:sz w:val="24"/>
                <w:u w:val="single"/>
              </w:rPr>
              <w:t xml:space="preserve">   年   月   日    时   分（开标时间）前不可启封</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trHeight w:val="552" w:hRule="atLeast"/>
          <w:jc w:val="center"/>
        </w:trPr>
        <w:tc>
          <w:tcPr>
            <w:tcW w:w="867" w:type="dxa"/>
            <w:tcMar>
              <w:top w:w="0" w:type="dxa"/>
              <w:left w:w="108" w:type="dxa"/>
              <w:bottom w:w="0" w:type="dxa"/>
              <w:right w:w="108" w:type="dxa"/>
            </w:tcMar>
            <w:vAlign w:val="center"/>
          </w:tcPr>
          <w:p>
            <w:pPr>
              <w:spacing w:line="360" w:lineRule="auto"/>
              <w:jc w:val="center"/>
              <w:rPr>
                <w:rFonts w:hint="default" w:ascii="宋体" w:hAnsi="宋体" w:eastAsia="宋体"/>
                <w:color w:val="auto"/>
                <w:sz w:val="24"/>
                <w:lang w:val="en-US" w:eastAsia="zh-CN"/>
              </w:rPr>
            </w:pPr>
            <w:r>
              <w:rPr>
                <w:rFonts w:hint="eastAsia" w:ascii="宋体" w:hAnsi="宋体"/>
                <w:color w:val="auto"/>
                <w:sz w:val="24"/>
                <w:lang w:val="en-US" w:eastAsia="zh-CN"/>
              </w:rPr>
              <w:t>9</w:t>
            </w:r>
          </w:p>
        </w:tc>
        <w:tc>
          <w:tcPr>
            <w:tcW w:w="1051" w:type="dxa"/>
            <w:tcMar>
              <w:top w:w="0" w:type="dxa"/>
              <w:left w:w="108" w:type="dxa"/>
              <w:bottom w:w="0" w:type="dxa"/>
              <w:right w:w="108" w:type="dxa"/>
            </w:tcMar>
            <w:vAlign w:val="center"/>
          </w:tcPr>
          <w:p>
            <w:pPr>
              <w:spacing w:line="360" w:lineRule="auto"/>
              <w:jc w:val="center"/>
              <w:rPr>
                <w:rFonts w:ascii="宋体" w:hAnsi="宋体"/>
                <w:color w:val="auto"/>
                <w:sz w:val="24"/>
              </w:rPr>
            </w:pPr>
            <w:r>
              <w:rPr>
                <w:rFonts w:hint="eastAsia" w:ascii="宋体" w:hAnsi="宋体"/>
                <w:color w:val="auto"/>
                <w:sz w:val="24"/>
              </w:rPr>
              <w:t>22</w:t>
            </w:r>
          </w:p>
        </w:tc>
        <w:tc>
          <w:tcPr>
            <w:tcW w:w="7335" w:type="dxa"/>
            <w:tcMar>
              <w:top w:w="0" w:type="dxa"/>
              <w:left w:w="108" w:type="dxa"/>
              <w:bottom w:w="0" w:type="dxa"/>
              <w:right w:w="108" w:type="dxa"/>
            </w:tcMar>
            <w:vAlign w:val="center"/>
          </w:tcPr>
          <w:p>
            <w:pPr>
              <w:spacing w:line="440" w:lineRule="exact"/>
              <w:rPr>
                <w:rFonts w:ascii="宋体" w:hAnsi="宋体" w:cs="宋体"/>
                <w:color w:val="auto"/>
                <w:sz w:val="24"/>
              </w:rPr>
            </w:pPr>
            <w:r>
              <w:rPr>
                <w:rFonts w:hint="eastAsia" w:ascii="宋体" w:hAnsi="宋体" w:cs="宋体"/>
                <w:color w:val="auto"/>
                <w:sz w:val="24"/>
              </w:rPr>
              <w:t>合同签订：</w:t>
            </w:r>
          </w:p>
          <w:p>
            <w:pPr>
              <w:spacing w:line="360" w:lineRule="auto"/>
              <w:ind w:firstLine="480" w:firstLineChars="200"/>
              <w:rPr>
                <w:rFonts w:ascii="宋体" w:hAnsi="宋体"/>
                <w:color w:val="auto"/>
                <w:sz w:val="24"/>
              </w:rPr>
            </w:pPr>
            <w:r>
              <w:rPr>
                <w:rFonts w:hint="eastAsia" w:ascii="宋体" w:hAnsi="宋体" w:cs="宋体"/>
                <w:color w:val="auto"/>
                <w:sz w:val="24"/>
                <w:lang w:val="en-US" w:eastAsia="zh-CN"/>
              </w:rPr>
              <w:t>中标</w:t>
            </w:r>
            <w:r>
              <w:rPr>
                <w:rFonts w:hint="eastAsia" w:ascii="宋体" w:hAnsi="宋体" w:cs="宋体"/>
                <w:color w:val="auto"/>
                <w:sz w:val="24"/>
              </w:rPr>
              <w:t>通知书发出后，</w:t>
            </w:r>
            <w:r>
              <w:rPr>
                <w:rFonts w:hint="eastAsia" w:ascii="宋体" w:hAnsi="宋体" w:cs="宋体"/>
                <w:color w:val="auto"/>
                <w:sz w:val="24"/>
                <w:lang w:eastAsia="zh-CN"/>
              </w:rPr>
              <w:t>中标人</w:t>
            </w:r>
            <w:r>
              <w:rPr>
                <w:rFonts w:hint="eastAsia" w:ascii="宋体" w:hAnsi="宋体" w:cs="宋体"/>
                <w:color w:val="auto"/>
                <w:sz w:val="24"/>
              </w:rPr>
              <w:t>应在规定时间内持</w:t>
            </w:r>
            <w:r>
              <w:rPr>
                <w:rFonts w:hint="eastAsia" w:ascii="宋体" w:hAnsi="宋体" w:cs="宋体"/>
                <w:color w:val="auto"/>
                <w:sz w:val="24"/>
                <w:lang w:val="en-US" w:eastAsia="zh-CN"/>
              </w:rPr>
              <w:t>中标</w:t>
            </w:r>
            <w:r>
              <w:rPr>
                <w:rFonts w:hint="eastAsia" w:ascii="宋体" w:hAnsi="宋体" w:cs="宋体"/>
                <w:color w:val="auto"/>
                <w:sz w:val="24"/>
              </w:rPr>
              <w:t>通知书与采购人签订合同，</w:t>
            </w:r>
            <w:r>
              <w:rPr>
                <w:rFonts w:hint="eastAsia" w:ascii="宋体" w:hAnsi="宋体" w:cs="宋体"/>
                <w:color w:val="auto"/>
                <w:sz w:val="24"/>
                <w:lang w:eastAsia="zh-CN"/>
              </w:rPr>
              <w:t>招标</w:t>
            </w:r>
            <w:r>
              <w:rPr>
                <w:rFonts w:hint="eastAsia" w:ascii="宋体" w:hAnsi="宋体" w:cs="宋体"/>
                <w:color w:val="auto"/>
                <w:sz w:val="24"/>
              </w:rPr>
              <w:t>文件、</w:t>
            </w:r>
            <w:r>
              <w:rPr>
                <w:rFonts w:hint="eastAsia" w:ascii="宋体" w:hAnsi="宋体" w:cs="宋体"/>
                <w:color w:val="auto"/>
                <w:sz w:val="24"/>
                <w:lang w:eastAsia="zh-CN"/>
              </w:rPr>
              <w:t>中标人</w:t>
            </w:r>
            <w:r>
              <w:rPr>
                <w:rFonts w:hint="eastAsia" w:ascii="宋体" w:hAnsi="宋体" w:cs="宋体"/>
                <w:color w:val="auto"/>
                <w:sz w:val="24"/>
              </w:rPr>
              <w:t>的报价文件均作为合同订立的基础。</w:t>
            </w:r>
          </w:p>
        </w:tc>
      </w:tr>
    </w:tbl>
    <w:p>
      <w:pPr>
        <w:pStyle w:val="4"/>
        <w:pageBreakBefore/>
        <w:spacing w:line="360" w:lineRule="auto"/>
        <w:jc w:val="center"/>
        <w:rPr>
          <w:rFonts w:ascii="宋体" w:hAnsi="宋体" w:eastAsia="宋体"/>
          <w:color w:val="auto"/>
        </w:rPr>
      </w:pPr>
      <w:bookmarkStart w:id="20" w:name="_Toc398504591"/>
      <w:bookmarkStart w:id="21" w:name="_Toc4353"/>
      <w:bookmarkStart w:id="22" w:name="_Toc398284535"/>
      <w:r>
        <w:rPr>
          <w:rFonts w:ascii="宋体" w:hAnsi="宋体" w:eastAsia="宋体"/>
          <w:color w:val="auto"/>
        </w:rPr>
        <w:t>投标人须知前附表2</w:t>
      </w:r>
      <w:r>
        <w:rPr>
          <w:rFonts w:hint="eastAsia" w:ascii="宋体" w:hAnsi="宋体" w:eastAsia="宋体"/>
          <w:color w:val="auto"/>
        </w:rPr>
        <w:t>：</w:t>
      </w:r>
      <w:r>
        <w:rPr>
          <w:rFonts w:ascii="宋体" w:hAnsi="宋体" w:eastAsia="宋体"/>
          <w:color w:val="auto"/>
        </w:rPr>
        <w:t>资格性、符合性检查表</w:t>
      </w:r>
      <w:bookmarkEnd w:id="20"/>
      <w:bookmarkEnd w:id="21"/>
      <w:bookmarkEnd w:id="22"/>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本须知前附表2集中列示了资格性、符合性检查的所有条款，其内容是评标委员会判断投标人的投标是否有效的重要依据。</w:t>
      </w:r>
      <w:r>
        <w:rPr>
          <w:rFonts w:ascii="宋体" w:hAnsi="宋体"/>
          <w:color w:val="auto"/>
          <w:sz w:val="24"/>
        </w:rPr>
        <w:t> </w:t>
      </w:r>
    </w:p>
    <w:tbl>
      <w:tblPr>
        <w:tblStyle w:val="41"/>
        <w:tblW w:w="10088"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0" w:type="dxa"/>
          <w:bottom w:w="0" w:type="dxa"/>
          <w:right w:w="0" w:type="dxa"/>
        </w:tblCellMar>
      </w:tblPr>
      <w:tblGrid>
        <w:gridCol w:w="456"/>
        <w:gridCol w:w="472"/>
        <w:gridCol w:w="969"/>
        <w:gridCol w:w="8191"/>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10088" w:type="dxa"/>
            <w:gridSpan w:val="4"/>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b/>
                <w:bCs/>
                <w:color w:val="auto"/>
                <w:kern w:val="0"/>
                <w:sz w:val="24"/>
              </w:rPr>
              <w:t>资格性要求</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项号</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章</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条款号</w:t>
            </w:r>
          </w:p>
        </w:tc>
        <w:tc>
          <w:tcPr>
            <w:tcW w:w="8191"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具体内容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1</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3</w:t>
            </w:r>
          </w:p>
        </w:tc>
        <w:tc>
          <w:tcPr>
            <w:tcW w:w="8191" w:type="dxa"/>
            <w:tcMar>
              <w:top w:w="0" w:type="dxa"/>
              <w:left w:w="108" w:type="dxa"/>
              <w:bottom w:w="0" w:type="dxa"/>
              <w:right w:w="108" w:type="dxa"/>
            </w:tcMar>
          </w:tcPr>
          <w:p>
            <w:pPr>
              <w:spacing w:line="360" w:lineRule="auto"/>
              <w:rPr>
                <w:rFonts w:ascii="宋体" w:hAnsi="宋体"/>
                <w:color w:val="auto"/>
                <w:sz w:val="24"/>
              </w:rPr>
            </w:pPr>
            <w:r>
              <w:rPr>
                <w:rFonts w:ascii="宋体" w:hAnsi="宋体"/>
                <w:color w:val="auto"/>
                <w:sz w:val="24"/>
              </w:rPr>
              <w:t>合格的投标人</w:t>
            </w:r>
            <w:r>
              <w:rPr>
                <w:rFonts w:hint="eastAsia" w:ascii="宋体" w:hAnsi="宋体"/>
                <w:color w:val="auto"/>
                <w:sz w:val="24"/>
              </w:rPr>
              <w:t>：</w:t>
            </w:r>
          </w:p>
          <w:p>
            <w:pPr>
              <w:spacing w:line="360" w:lineRule="auto"/>
              <w:rPr>
                <w:rFonts w:ascii="宋体" w:hAnsi="宋体"/>
                <w:color w:val="auto"/>
                <w:sz w:val="24"/>
              </w:rPr>
            </w:pPr>
            <w:r>
              <w:rPr>
                <w:rFonts w:ascii="宋体" w:hAnsi="宋体"/>
                <w:color w:val="auto"/>
                <w:sz w:val="24"/>
              </w:rPr>
              <w:t>　　具体内容详见第二章第3条</w:t>
            </w:r>
            <w:r>
              <w:rPr>
                <w:rFonts w:hint="eastAsia" w:ascii="宋体" w:hAnsi="宋体"/>
                <w:color w:val="auto"/>
                <w:sz w:val="24"/>
              </w:rPr>
              <w:t>“</w:t>
            </w:r>
            <w:r>
              <w:rPr>
                <w:rFonts w:ascii="宋体" w:hAnsi="宋体"/>
                <w:color w:val="auto"/>
                <w:sz w:val="24"/>
              </w:rPr>
              <w:t>合格的投标人</w:t>
            </w:r>
            <w:r>
              <w:rPr>
                <w:rFonts w:hint="eastAsia" w:ascii="宋体" w:hAnsi="宋体"/>
                <w:color w:val="auto"/>
                <w:sz w:val="24"/>
              </w:rPr>
              <w:t>”</w:t>
            </w:r>
            <w:r>
              <w:rPr>
                <w:rFonts w:ascii="宋体" w:hAnsi="宋体"/>
                <w:color w:val="auto"/>
                <w:sz w:val="24"/>
              </w:rPr>
              <w:t>。</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2</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17.6.1</w:t>
            </w:r>
          </w:p>
        </w:tc>
        <w:tc>
          <w:tcPr>
            <w:tcW w:w="8191"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投标人不满足下列规定的资格条件或提供资格证明文件不全的，其投标无效：</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b/>
                <w:color w:val="auto"/>
                <w:sz w:val="24"/>
              </w:rPr>
              <w:t>必须在</w:t>
            </w:r>
            <w:r>
              <w:rPr>
                <w:rFonts w:hint="eastAsia" w:ascii="宋体" w:hAnsi="宋体"/>
                <w:b/>
                <w:color w:val="auto"/>
                <w:sz w:val="24"/>
                <w:lang w:val="en-US" w:eastAsia="zh-CN"/>
              </w:rPr>
              <w:t>投标</w:t>
            </w:r>
            <w:r>
              <w:rPr>
                <w:rFonts w:hint="eastAsia" w:ascii="宋体" w:hAnsi="宋体"/>
                <w:b/>
                <w:color w:val="auto"/>
                <w:sz w:val="24"/>
              </w:rPr>
              <w:t>文件中提供加载有统一社会信用代码营业执照复印件</w:t>
            </w:r>
            <w:r>
              <w:rPr>
                <w:rFonts w:hint="eastAsia" w:ascii="宋体" w:hAnsi="宋体" w:cs="宋体"/>
                <w:b/>
                <w:color w:val="auto"/>
                <w:sz w:val="24"/>
              </w:rPr>
              <w:t>。</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代表若不是企业法定代表人，则应在</w:t>
            </w:r>
            <w:r>
              <w:rPr>
                <w:rFonts w:hint="eastAsia" w:ascii="宋体" w:hAnsi="宋体" w:cs="宋体"/>
                <w:b/>
                <w:color w:val="auto"/>
                <w:sz w:val="24"/>
                <w:lang w:val="en-US" w:eastAsia="zh-CN"/>
              </w:rPr>
              <w:t>投标</w:t>
            </w:r>
            <w:r>
              <w:rPr>
                <w:rFonts w:hint="eastAsia" w:ascii="宋体" w:hAnsi="宋体" w:cs="宋体"/>
                <w:b/>
                <w:color w:val="auto"/>
                <w:sz w:val="24"/>
              </w:rPr>
              <w:t>文件中提供法人授权书原件, 并提供被授权代表身份证复印件。</w:t>
            </w:r>
          </w:p>
          <w:p>
            <w:pPr>
              <w:numPr>
                <w:ilvl w:val="1"/>
                <w:numId w:val="4"/>
              </w:numPr>
              <w:snapToGrid w:val="0"/>
              <w:spacing w:line="360" w:lineRule="auto"/>
              <w:ind w:left="205" w:leftChars="0" w:firstLineChars="0"/>
              <w:rPr>
                <w:rFonts w:ascii="宋体" w:hAnsi="宋体" w:cs="宋体"/>
                <w:color w:val="auto"/>
                <w:sz w:val="24"/>
              </w:rPr>
            </w:pPr>
            <w:r>
              <w:rPr>
                <w:rFonts w:hint="eastAsia" w:ascii="宋体" w:hAnsi="宋体" w:cs="宋体"/>
                <w:b/>
                <w:color w:val="auto"/>
                <w:sz w:val="24"/>
              </w:rPr>
              <w:t>*本项目不接受联合体</w:t>
            </w:r>
            <w:r>
              <w:rPr>
                <w:rFonts w:hint="eastAsia" w:ascii="宋体" w:hAnsi="宋体" w:cs="宋体"/>
                <w:b/>
                <w:color w:val="auto"/>
                <w:sz w:val="24"/>
                <w:lang w:val="en-US" w:eastAsia="zh-CN"/>
              </w:rPr>
              <w:t>投标</w:t>
            </w:r>
            <w:r>
              <w:rPr>
                <w:rFonts w:hint="eastAsia" w:ascii="宋体" w:hAnsi="宋体" w:cs="宋体"/>
                <w:b/>
                <w:color w:val="auto"/>
                <w:sz w:val="24"/>
              </w:rPr>
              <w:t>。</w:t>
            </w:r>
          </w:p>
          <w:p>
            <w:pPr>
              <w:numPr>
                <w:ilvl w:val="1"/>
                <w:numId w:val="4"/>
              </w:numPr>
              <w:snapToGrid w:val="0"/>
              <w:spacing w:line="360" w:lineRule="auto"/>
              <w:ind w:left="205" w:leftChars="0" w:firstLineChars="0"/>
              <w:rPr>
                <w:rFonts w:ascii="宋体" w:hAnsi="宋体" w:cs="宋体"/>
                <w:b/>
                <w:color w:val="auto"/>
                <w:sz w:val="24"/>
              </w:rPr>
            </w:pPr>
            <w:r>
              <w:rPr>
                <w:rFonts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需承诺：单位负责人为同一人或者存在控股、管理关系的不同单位，不得参加同一标段投标或者未划分标段的同一招标项目投标。</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经营范围应包含电气安装或设备安装或软件开发或信息系统集成服务，需提供营业执照复印件并加盖公章。</w:t>
            </w:r>
          </w:p>
          <w:p>
            <w:pPr>
              <w:tabs>
                <w:tab w:val="left" w:pos="781"/>
                <w:tab w:val="left" w:pos="870"/>
              </w:tabs>
              <w:spacing w:line="360" w:lineRule="auto"/>
              <w:ind w:firstLine="482" w:firstLineChars="200"/>
              <w:rPr>
                <w:rFonts w:hint="eastAsia" w:ascii="宋体" w:hAnsi="宋体" w:eastAsia="宋体"/>
                <w:color w:val="auto"/>
                <w:sz w:val="24"/>
                <w:lang w:val="en-US" w:eastAsia="zh-CN"/>
              </w:rPr>
            </w:pPr>
            <w:r>
              <w:rPr>
                <w:rFonts w:hint="eastAsia" w:ascii="宋体" w:hAnsi="宋体" w:cs="宋体"/>
                <w:b/>
                <w:color w:val="auto"/>
                <w:sz w:val="24"/>
                <w:lang w:val="en-US" w:eastAsia="zh-CN"/>
              </w:rPr>
              <w:t>1.6</w:t>
            </w: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应具备电子与智能化工程专业承包</w:t>
            </w:r>
            <w:r>
              <w:rPr>
                <w:rFonts w:hint="eastAsia" w:ascii="宋体" w:hAnsi="宋体" w:cs="宋体"/>
                <w:b/>
                <w:color w:val="auto"/>
                <w:sz w:val="24"/>
                <w:lang w:eastAsia="zh-CN"/>
              </w:rPr>
              <w:t>二级（含）以上资质</w:t>
            </w:r>
            <w:r>
              <w:rPr>
                <w:rFonts w:hint="eastAsia" w:ascii="宋体" w:hAnsi="宋体" w:cs="宋体"/>
                <w:b/>
                <w:color w:val="auto"/>
                <w:sz w:val="24"/>
              </w:rPr>
              <w:t>，需提供资质证书复印件并加盖公章</w:t>
            </w:r>
            <w:r>
              <w:rPr>
                <w:rFonts w:hint="eastAsia" w:ascii="宋体" w:hAnsi="宋体" w:cs="宋体"/>
                <w:b/>
                <w:color w:val="auto"/>
                <w:sz w:val="24"/>
                <w:lang w:val="en-US" w:eastAsia="zh-CN"/>
              </w:rPr>
              <w:t>。</w:t>
            </w:r>
          </w:p>
          <w:p>
            <w:pPr>
              <w:spacing w:line="360" w:lineRule="auto"/>
              <w:ind w:firstLine="482" w:firstLineChars="200"/>
              <w:rPr>
                <w:rFonts w:ascii="宋体" w:hAnsi="宋体"/>
                <w:color w:val="auto"/>
                <w:sz w:val="24"/>
              </w:rPr>
            </w:pPr>
            <w:r>
              <w:rPr>
                <w:rFonts w:hint="eastAsia" w:ascii="宋体" w:hAnsi="宋体"/>
                <w:b/>
                <w:color w:val="auto"/>
                <w:sz w:val="24"/>
              </w:rPr>
              <w:t>投标人不满足上述规定的基本资格条件或提供资格证明文件不全的，将否决其投标资格。资格证明文件不接受评审过程中的补充。以上资格证明文件为复印件的，须加盖</w:t>
            </w:r>
            <w:r>
              <w:rPr>
                <w:rFonts w:hint="eastAsia" w:ascii="宋体" w:hAnsi="宋体"/>
                <w:b/>
                <w:color w:val="auto"/>
                <w:sz w:val="24"/>
                <w:lang w:eastAsia="zh-CN"/>
              </w:rPr>
              <w:t>投标人</w:t>
            </w:r>
            <w:r>
              <w:rPr>
                <w:rFonts w:hint="eastAsia" w:ascii="宋体" w:hAnsi="宋体"/>
                <w:b/>
                <w:color w:val="auto"/>
                <w:sz w:val="24"/>
              </w:rPr>
              <w:t>公章，且原件备查。</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10088" w:type="dxa"/>
            <w:gridSpan w:val="4"/>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b/>
                <w:bCs/>
                <w:color w:val="auto"/>
                <w:kern w:val="0"/>
                <w:sz w:val="24"/>
              </w:rPr>
              <w:t>符合性要求</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项号</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章</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条款号</w:t>
            </w:r>
          </w:p>
        </w:tc>
        <w:tc>
          <w:tcPr>
            <w:tcW w:w="8191"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具体内容</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11</w:t>
            </w:r>
          </w:p>
        </w:tc>
        <w:tc>
          <w:tcPr>
            <w:tcW w:w="8191"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有效期：从提交投标文件的截止之日起90个日历日内保持有效。投标文件中承诺的投标有效期少于招标文件中载明的上述投标有效期的，将导致其投标文件被拒绝。投标有效期内投标人撤销投标文件的，招标代理机构可以不退还投标保证金。</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0" w:type="dxa"/>
            <w:bottom w:w="0" w:type="dxa"/>
            <w:right w:w="0" w:type="dxa"/>
          </w:tblCellMar>
        </w:tblPrEx>
        <w:trPr>
          <w:jc w:val="center"/>
        </w:trPr>
        <w:tc>
          <w:tcPr>
            <w:tcW w:w="456"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hint="eastAsia" w:ascii="宋体" w:hAnsi="宋体" w:cs="宋体"/>
                <w:color w:val="auto"/>
                <w:kern w:val="0"/>
                <w:sz w:val="24"/>
              </w:rPr>
              <w:t>2</w:t>
            </w:r>
          </w:p>
        </w:tc>
        <w:tc>
          <w:tcPr>
            <w:tcW w:w="472"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二</w:t>
            </w:r>
          </w:p>
        </w:tc>
        <w:tc>
          <w:tcPr>
            <w:tcW w:w="969" w:type="dxa"/>
            <w:tcMar>
              <w:top w:w="0" w:type="dxa"/>
              <w:left w:w="108" w:type="dxa"/>
              <w:bottom w:w="0" w:type="dxa"/>
              <w:right w:w="108" w:type="dxa"/>
            </w:tcMar>
            <w:vAlign w:val="center"/>
          </w:tcPr>
          <w:p>
            <w:pPr>
              <w:widowControl/>
              <w:spacing w:line="360" w:lineRule="auto"/>
              <w:jc w:val="center"/>
              <w:rPr>
                <w:rFonts w:ascii="宋体" w:hAnsi="宋体" w:cs="宋体"/>
                <w:color w:val="auto"/>
                <w:kern w:val="0"/>
                <w:sz w:val="24"/>
              </w:rPr>
            </w:pPr>
            <w:r>
              <w:rPr>
                <w:rFonts w:ascii="宋体" w:hAnsi="宋体" w:cs="宋体"/>
                <w:color w:val="auto"/>
                <w:kern w:val="0"/>
                <w:sz w:val="24"/>
              </w:rPr>
              <w:t>1</w:t>
            </w:r>
            <w:r>
              <w:rPr>
                <w:rFonts w:hint="eastAsia" w:ascii="宋体" w:hAnsi="宋体" w:cs="宋体"/>
                <w:color w:val="auto"/>
                <w:kern w:val="0"/>
                <w:sz w:val="24"/>
              </w:rPr>
              <w:t>7</w:t>
            </w:r>
            <w:r>
              <w:rPr>
                <w:rFonts w:ascii="宋体" w:hAnsi="宋体" w:cs="宋体"/>
                <w:color w:val="auto"/>
                <w:kern w:val="0"/>
                <w:sz w:val="24"/>
              </w:rPr>
              <w:t>.</w:t>
            </w:r>
            <w:r>
              <w:rPr>
                <w:rFonts w:hint="eastAsia" w:ascii="宋体" w:hAnsi="宋体" w:cs="宋体"/>
                <w:color w:val="auto"/>
                <w:kern w:val="0"/>
                <w:sz w:val="24"/>
              </w:rPr>
              <w:t>6</w:t>
            </w:r>
            <w:r>
              <w:rPr>
                <w:rFonts w:ascii="宋体" w:hAnsi="宋体" w:cs="宋体"/>
                <w:color w:val="auto"/>
                <w:kern w:val="0"/>
                <w:sz w:val="24"/>
              </w:rPr>
              <w:t>.2</w:t>
            </w:r>
          </w:p>
        </w:tc>
        <w:tc>
          <w:tcPr>
            <w:tcW w:w="8191" w:type="dxa"/>
            <w:tcMar>
              <w:top w:w="0" w:type="dxa"/>
              <w:left w:w="108" w:type="dxa"/>
              <w:bottom w:w="0" w:type="dxa"/>
              <w:right w:w="108" w:type="dxa"/>
            </w:tcMar>
          </w:tcPr>
          <w:p>
            <w:pPr>
              <w:spacing w:line="360" w:lineRule="auto"/>
              <w:rPr>
                <w:rFonts w:ascii="宋体" w:hAnsi="宋体"/>
                <w:color w:val="auto"/>
                <w:sz w:val="24"/>
              </w:rPr>
            </w:pPr>
            <w:r>
              <w:rPr>
                <w:rFonts w:hint="eastAsia" w:ascii="宋体" w:hAnsi="宋体"/>
                <w:color w:val="auto"/>
                <w:sz w:val="24"/>
              </w:rPr>
              <w:t>投标人有</w:t>
            </w:r>
            <w:r>
              <w:rPr>
                <w:rFonts w:ascii="宋体" w:hAnsi="宋体"/>
                <w:color w:val="auto"/>
                <w:sz w:val="24"/>
              </w:rPr>
              <w:t>下列情况之一者，将被视为未实质性响应招标文件要求</w:t>
            </w:r>
            <w:r>
              <w:rPr>
                <w:rFonts w:hint="eastAsia" w:ascii="宋体" w:hAnsi="宋体"/>
                <w:color w:val="auto"/>
                <w:sz w:val="24"/>
              </w:rPr>
              <w:t>，其</w:t>
            </w:r>
            <w:r>
              <w:rPr>
                <w:rFonts w:ascii="宋体" w:hAnsi="宋体"/>
                <w:color w:val="auto"/>
                <w:sz w:val="24"/>
              </w:rPr>
              <w:t>投标无效</w:t>
            </w:r>
            <w:r>
              <w:rPr>
                <w:rFonts w:hint="eastAsia" w:ascii="宋体" w:hAnsi="宋体"/>
                <w:color w:val="auto"/>
                <w:sz w:val="24"/>
              </w:rPr>
              <w:t>：</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s="宋体"/>
                <w:color w:val="auto"/>
                <w:kern w:val="0"/>
                <w:sz w:val="24"/>
              </w:rPr>
              <w:t>投标文件未按照本招标文件的规定进行签署、盖章的；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未按规定由投标人的法定代表人或其授权代表签字；或未加盖投标人公章的；或签字人未提供法定代表人有效授权委托书的；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未按照招标文件要求提交投标保证金的；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投标有效期不满足招标文件要求的；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投标内容与招标内容及要求有重大偏离或保留的；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s="宋体"/>
                <w:color w:val="auto"/>
                <w:kern w:val="0"/>
                <w:sz w:val="24"/>
              </w:rPr>
              <w:t>投标人提交两份或者多份内容不同的投标文件，或者在一份投标文件中对同一招标项目有两个或者多个报价，且未声明哪一个为最终报价的；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投标文件中提供虚假或失实资料的；</w:t>
            </w:r>
          </w:p>
          <w:p>
            <w:pPr>
              <w:numPr>
                <w:ilvl w:val="0"/>
                <w:numId w:val="5"/>
              </w:numPr>
              <w:tabs>
                <w:tab w:val="left" w:pos="655"/>
              </w:tabs>
              <w:spacing w:line="360" w:lineRule="auto"/>
              <w:ind w:left="0" w:firstLine="0"/>
              <w:rPr>
                <w:rFonts w:ascii="宋体" w:hAnsi="宋体"/>
                <w:color w:val="auto"/>
                <w:sz w:val="24"/>
              </w:rPr>
            </w:pPr>
            <w:r>
              <w:rPr>
                <w:rFonts w:hint="eastAsia" w:ascii="宋体" w:hAnsi="宋体"/>
                <w:color w:val="auto"/>
                <w:sz w:val="24"/>
              </w:rPr>
              <w:t>对招标文件中带“★”的条款的有任何负偏离或不满足的；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投标文件没有对招标文件的实质性要求和条件作出响应；</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投标报价超过最高控制价的；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明显不符合技术规格、质量要求、报价要求、货物包装方式、检验标准和方法</w:t>
            </w:r>
            <w:r>
              <w:rPr>
                <w:rFonts w:hint="eastAsia" w:ascii="宋体" w:hAnsi="宋体"/>
                <w:color w:val="auto"/>
                <w:sz w:val="24"/>
              </w:rPr>
              <w:t>；</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实质性违背招标文件，限制了招标人的权利和中标人合同项下的义务；</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不公正地影响了其他作出实质性响应的投标人的竞争地位；</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投标文件载明的招标项目完成期限超过招标文件规定的；</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olor w:val="auto"/>
                <w:sz w:val="24"/>
              </w:rPr>
              <w:t>投标文件附有招标人无法接受的条件；</w:t>
            </w:r>
          </w:p>
          <w:p>
            <w:pPr>
              <w:numPr>
                <w:ilvl w:val="0"/>
                <w:numId w:val="5"/>
              </w:numPr>
              <w:tabs>
                <w:tab w:val="left" w:pos="797"/>
              </w:tabs>
              <w:spacing w:line="360" w:lineRule="auto"/>
              <w:ind w:left="0" w:firstLine="0"/>
              <w:rPr>
                <w:rFonts w:ascii="宋体" w:hAnsi="宋体"/>
                <w:color w:val="auto"/>
                <w:sz w:val="24"/>
              </w:rPr>
            </w:pPr>
            <w:r>
              <w:rPr>
                <w:rFonts w:hint="eastAsia" w:ascii="宋体" w:hAnsi="宋体" w:cs="宋体"/>
                <w:color w:val="auto"/>
                <w:kern w:val="0"/>
                <w:sz w:val="24"/>
              </w:rPr>
              <w:t>投标人有串通投标、弄虚作假、行贿等违法行为。</w:t>
            </w:r>
          </w:p>
        </w:tc>
      </w:tr>
    </w:tbl>
    <w:p>
      <w:pPr>
        <w:pStyle w:val="4"/>
        <w:pageBreakBefore/>
        <w:spacing w:line="360" w:lineRule="auto"/>
        <w:jc w:val="center"/>
        <w:rPr>
          <w:color w:val="auto"/>
        </w:rPr>
      </w:pPr>
      <w:bookmarkStart w:id="23" w:name="_Toc398284536"/>
      <w:bookmarkStart w:id="24" w:name="_Toc17990"/>
      <w:bookmarkStart w:id="25" w:name="_Toc398504592"/>
      <w:r>
        <w:rPr>
          <w:rFonts w:ascii="宋体" w:hAnsi="宋体" w:eastAsia="宋体"/>
          <w:color w:val="auto"/>
        </w:rPr>
        <w:t>投标人须知前附表3：评标方法、评标标准、定标原则</w:t>
      </w:r>
      <w:bookmarkEnd w:id="23"/>
      <w:bookmarkEnd w:id="24"/>
      <w:bookmarkEnd w:id="25"/>
    </w:p>
    <w:tbl>
      <w:tblPr>
        <w:tblStyle w:val="41"/>
        <w:tblW w:w="9483" w:type="dxa"/>
        <w:jc w:val="center"/>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Layout w:type="fixed"/>
        <w:tblCellMar>
          <w:top w:w="0" w:type="dxa"/>
          <w:left w:w="108" w:type="dxa"/>
          <w:bottom w:w="0" w:type="dxa"/>
          <w:right w:w="108" w:type="dxa"/>
        </w:tblCellMar>
      </w:tblPr>
      <w:tblGrid>
        <w:gridCol w:w="9483"/>
      </w:tblGrid>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9483" w:type="dxa"/>
            <w:tcBorders>
              <w:top w:val="thinThickSmallGap" w:color="auto" w:sz="18" w:space="0"/>
              <w:left w:val="thinThickSmallGap" w:color="auto" w:sz="18" w:space="0"/>
              <w:bottom w:val="single" w:color="auto" w:sz="6" w:space="0"/>
              <w:right w:val="thinThickSmallGap" w:color="auto" w:sz="18" w:space="0"/>
            </w:tcBorders>
          </w:tcPr>
          <w:p>
            <w:pPr>
              <w:snapToGrid w:val="0"/>
              <w:spacing w:line="360" w:lineRule="auto"/>
              <w:rPr>
                <w:rFonts w:ascii="宋体" w:hAnsi="宋体"/>
                <w:color w:val="auto"/>
                <w:kern w:val="0"/>
                <w:sz w:val="24"/>
              </w:rPr>
            </w:pPr>
            <w:r>
              <w:rPr>
                <w:rFonts w:hint="eastAsia" w:ascii="宋体" w:hAnsi="宋体"/>
                <w:color w:val="auto"/>
                <w:kern w:val="0"/>
                <w:sz w:val="24"/>
              </w:rPr>
              <w:t>一、评标方法：</w:t>
            </w:r>
          </w:p>
          <w:p>
            <w:pPr>
              <w:widowControl/>
              <w:snapToGrid w:val="0"/>
              <w:spacing w:line="360" w:lineRule="auto"/>
              <w:ind w:left="480"/>
              <w:jc w:val="left"/>
              <w:rPr>
                <w:rFonts w:ascii="宋体" w:hAnsi="宋体"/>
                <w:color w:val="auto"/>
                <w:kern w:val="0"/>
                <w:sz w:val="24"/>
              </w:rPr>
            </w:pPr>
            <w:r>
              <w:rPr>
                <w:rFonts w:hint="eastAsia" w:ascii="宋体" w:hAnsi="宋体"/>
                <w:color w:val="auto"/>
                <w:kern w:val="0"/>
                <w:sz w:val="24"/>
                <w:szCs w:val="20"/>
                <w:lang w:eastAsia="en-US"/>
              </w:rPr>
              <w:sym w:font="Wingdings" w:char="F0FE"/>
            </w:r>
            <w:r>
              <w:rPr>
                <w:rFonts w:hint="eastAsia" w:ascii="宋体" w:hAnsi="宋体"/>
                <w:color w:val="auto"/>
                <w:kern w:val="0"/>
                <w:sz w:val="24"/>
              </w:rPr>
              <w:t xml:space="preserve"> 综合评分法  □ 最低评标价法</w:t>
            </w:r>
          </w:p>
        </w:tc>
      </w:tr>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CellMar>
            <w:top w:w="0" w:type="dxa"/>
            <w:left w:w="108" w:type="dxa"/>
            <w:bottom w:w="0" w:type="dxa"/>
            <w:right w:w="108" w:type="dxa"/>
          </w:tblCellMar>
        </w:tblPrEx>
        <w:trPr>
          <w:trHeight w:val="2168" w:hRule="atLeast"/>
          <w:jc w:val="center"/>
        </w:trPr>
        <w:tc>
          <w:tcPr>
            <w:tcW w:w="9483" w:type="dxa"/>
            <w:tcBorders>
              <w:top w:val="single" w:color="auto" w:sz="6" w:space="0"/>
              <w:left w:val="thinThickSmallGap" w:color="auto" w:sz="18" w:space="0"/>
              <w:bottom w:val="single" w:color="auto" w:sz="6" w:space="0"/>
              <w:right w:val="thinThickSmallGap" w:color="auto" w:sz="18" w:space="0"/>
            </w:tcBorders>
          </w:tcPr>
          <w:p>
            <w:pPr>
              <w:widowControl/>
              <w:snapToGrid w:val="0"/>
              <w:spacing w:line="360" w:lineRule="auto"/>
              <w:jc w:val="left"/>
              <w:rPr>
                <w:rFonts w:ascii="宋体" w:hAnsi="宋体"/>
                <w:color w:val="auto"/>
                <w:kern w:val="0"/>
                <w:sz w:val="24"/>
              </w:rPr>
            </w:pPr>
            <w:r>
              <w:rPr>
                <w:rFonts w:hint="eastAsia" w:ascii="宋体" w:hAnsi="宋体"/>
                <w:color w:val="auto"/>
                <w:kern w:val="0"/>
                <w:sz w:val="24"/>
              </w:rPr>
              <w:t>二、评标标准：</w:t>
            </w:r>
          </w:p>
          <w:p>
            <w:pPr>
              <w:widowControl/>
              <w:snapToGrid w:val="0"/>
              <w:spacing w:line="360" w:lineRule="auto"/>
              <w:ind w:firstLine="480" w:firstLineChars="200"/>
              <w:jc w:val="left"/>
              <w:rPr>
                <w:rFonts w:ascii="宋体" w:hAnsi="宋体"/>
                <w:color w:val="auto"/>
                <w:kern w:val="0"/>
                <w:sz w:val="24"/>
              </w:rPr>
            </w:pPr>
            <w:r>
              <w:rPr>
                <w:rFonts w:ascii="宋体" w:hAnsi="宋体"/>
                <w:color w:val="auto"/>
                <w:kern w:val="0"/>
                <w:sz w:val="24"/>
              </w:rPr>
              <w:t>首先按照评标程序的规定对各</w:t>
            </w:r>
            <w:r>
              <w:rPr>
                <w:rFonts w:hint="eastAsia" w:ascii="宋体" w:hAnsi="宋体"/>
                <w:color w:val="auto"/>
                <w:kern w:val="0"/>
                <w:sz w:val="24"/>
              </w:rPr>
              <w:t>投标人</w:t>
            </w:r>
            <w:r>
              <w:rPr>
                <w:rFonts w:ascii="宋体" w:hAnsi="宋体"/>
                <w:color w:val="auto"/>
                <w:kern w:val="0"/>
                <w:sz w:val="24"/>
              </w:rPr>
              <w:t>的资格</w:t>
            </w:r>
            <w:r>
              <w:rPr>
                <w:rFonts w:hint="eastAsia" w:ascii="宋体" w:hAnsi="宋体"/>
                <w:color w:val="auto"/>
                <w:kern w:val="0"/>
                <w:sz w:val="24"/>
              </w:rPr>
              <w:t>性以及符合性做出</w:t>
            </w:r>
            <w:r>
              <w:rPr>
                <w:rFonts w:ascii="宋体" w:hAnsi="宋体"/>
                <w:color w:val="auto"/>
                <w:kern w:val="0"/>
                <w:sz w:val="24"/>
              </w:rPr>
              <w:t>评审，只有</w:t>
            </w:r>
            <w:r>
              <w:rPr>
                <w:rFonts w:hint="eastAsia" w:ascii="宋体" w:hAnsi="宋体"/>
                <w:color w:val="auto"/>
                <w:kern w:val="0"/>
                <w:sz w:val="24"/>
              </w:rPr>
              <w:t>资格性检查和符合性检查合格</w:t>
            </w:r>
            <w:r>
              <w:rPr>
                <w:rFonts w:ascii="宋体" w:hAnsi="宋体"/>
                <w:color w:val="auto"/>
                <w:kern w:val="0"/>
                <w:sz w:val="24"/>
              </w:rPr>
              <w:t>的投标文件才能进入综合评分。评标委员</w:t>
            </w:r>
            <w:r>
              <w:rPr>
                <w:rFonts w:hint="eastAsia" w:ascii="宋体" w:hAnsi="宋体"/>
                <w:color w:val="auto"/>
                <w:kern w:val="0"/>
                <w:sz w:val="24"/>
              </w:rPr>
              <w:t>会各位评委</w:t>
            </w:r>
            <w:r>
              <w:rPr>
                <w:rFonts w:ascii="宋体" w:hAnsi="宋体"/>
                <w:color w:val="auto"/>
                <w:kern w:val="0"/>
                <w:sz w:val="24"/>
              </w:rPr>
              <w:t>依据评分标准以及各项权重，就每个</w:t>
            </w:r>
            <w:r>
              <w:rPr>
                <w:rFonts w:hint="eastAsia" w:ascii="宋体" w:hAnsi="宋体"/>
                <w:color w:val="auto"/>
                <w:kern w:val="0"/>
                <w:sz w:val="24"/>
              </w:rPr>
              <w:t>合格投标人</w:t>
            </w:r>
            <w:r>
              <w:rPr>
                <w:rFonts w:ascii="宋体" w:hAnsi="宋体"/>
                <w:color w:val="auto"/>
                <w:kern w:val="0"/>
                <w:sz w:val="24"/>
              </w:rPr>
              <w:t>的</w:t>
            </w:r>
            <w:r>
              <w:rPr>
                <w:rFonts w:hint="eastAsia" w:ascii="宋体" w:hAnsi="宋体"/>
                <w:color w:val="auto"/>
                <w:kern w:val="0"/>
                <w:sz w:val="24"/>
              </w:rPr>
              <w:t>投标文件</w:t>
            </w:r>
            <w:r>
              <w:rPr>
                <w:rFonts w:ascii="宋体" w:hAnsi="宋体"/>
                <w:color w:val="auto"/>
                <w:kern w:val="0"/>
                <w:sz w:val="24"/>
              </w:rPr>
              <w:t>及其对招标文件要求的响应情况进行</w:t>
            </w:r>
            <w:r>
              <w:rPr>
                <w:rFonts w:hint="eastAsia" w:ascii="宋体" w:hAnsi="宋体"/>
                <w:color w:val="auto"/>
                <w:kern w:val="0"/>
                <w:sz w:val="24"/>
              </w:rPr>
              <w:t>综合</w:t>
            </w:r>
            <w:r>
              <w:rPr>
                <w:rFonts w:ascii="宋体" w:hAnsi="宋体"/>
                <w:color w:val="auto"/>
                <w:kern w:val="0"/>
                <w:sz w:val="24"/>
              </w:rPr>
              <w:t>比较</w:t>
            </w:r>
            <w:r>
              <w:rPr>
                <w:rFonts w:hint="eastAsia" w:ascii="宋体" w:hAnsi="宋体"/>
                <w:color w:val="auto"/>
                <w:kern w:val="0"/>
                <w:sz w:val="24"/>
              </w:rPr>
              <w:t>和评价</w:t>
            </w:r>
            <w:r>
              <w:rPr>
                <w:rFonts w:ascii="宋体" w:hAnsi="宋体"/>
                <w:color w:val="auto"/>
                <w:kern w:val="0"/>
                <w:sz w:val="24"/>
              </w:rPr>
              <w:t>，</w:t>
            </w:r>
            <w:r>
              <w:rPr>
                <w:rFonts w:hint="eastAsia" w:ascii="宋体" w:hAnsi="宋体"/>
                <w:color w:val="auto"/>
                <w:kern w:val="0"/>
                <w:sz w:val="24"/>
              </w:rPr>
              <w:t>统计每个通过审核的投标人的技术、商务、价格得分。</w:t>
            </w:r>
          </w:p>
          <w:p>
            <w:pPr>
              <w:widowControl/>
              <w:snapToGrid w:val="0"/>
              <w:spacing w:line="360" w:lineRule="auto"/>
              <w:jc w:val="left"/>
              <w:rPr>
                <w:rFonts w:ascii="宋体" w:hAnsi="宋体"/>
                <w:color w:val="auto"/>
                <w:kern w:val="0"/>
                <w:sz w:val="24"/>
              </w:rPr>
            </w:pPr>
            <w:r>
              <w:rPr>
                <w:rFonts w:hint="eastAsia" w:ascii="宋体" w:hAnsi="宋体"/>
                <w:color w:val="auto"/>
                <w:kern w:val="0"/>
                <w:sz w:val="24"/>
              </w:rPr>
              <w:t>（一）</w:t>
            </w:r>
            <w:r>
              <w:rPr>
                <w:rFonts w:ascii="宋体" w:hAnsi="宋体"/>
                <w:color w:val="auto"/>
                <w:kern w:val="0"/>
                <w:sz w:val="24"/>
              </w:rPr>
              <w:t>具体的评标标准。</w:t>
            </w:r>
          </w:p>
          <w:p>
            <w:pPr>
              <w:widowControl/>
              <w:snapToGrid w:val="0"/>
              <w:spacing w:line="360" w:lineRule="auto"/>
              <w:ind w:firstLine="480" w:firstLineChars="200"/>
              <w:jc w:val="left"/>
              <w:rPr>
                <w:rFonts w:hint="eastAsia" w:ascii="宋体" w:hAnsi="宋体"/>
                <w:color w:val="auto"/>
                <w:kern w:val="0"/>
                <w:sz w:val="24"/>
              </w:rPr>
            </w:pPr>
            <w:r>
              <w:rPr>
                <w:rFonts w:hint="eastAsia" w:ascii="宋体" w:hAnsi="宋体"/>
                <w:color w:val="auto"/>
                <w:kern w:val="0"/>
                <w:sz w:val="24"/>
              </w:rPr>
              <w:t>1、通过</w:t>
            </w:r>
            <w:r>
              <w:rPr>
                <w:rFonts w:ascii="宋体" w:hAnsi="宋体"/>
                <w:color w:val="auto"/>
                <w:kern w:val="0"/>
                <w:sz w:val="24"/>
              </w:rPr>
              <w:t>评标委员会资格性、符合性</w:t>
            </w:r>
            <w:r>
              <w:rPr>
                <w:rFonts w:hint="eastAsia" w:ascii="宋体" w:hAnsi="宋体"/>
                <w:color w:val="auto"/>
                <w:kern w:val="0"/>
                <w:sz w:val="24"/>
              </w:rPr>
              <w:t>审核，有三家或三家以上符合专业条件要求并对招标文件作实质性响应的投标人，则依照以下标准和权重进行评分：</w:t>
            </w:r>
          </w:p>
          <w:p>
            <w:pPr>
              <w:pStyle w:val="40"/>
            </w:pPr>
          </w:p>
          <w:tbl>
            <w:tblPr>
              <w:tblStyle w:val="41"/>
              <w:tblW w:w="9195" w:type="dxa"/>
              <w:jc w:val="center"/>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782"/>
              <w:gridCol w:w="7645"/>
              <w:gridCol w:w="768"/>
            </w:tblGrid>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26" w:hRule="atLeast"/>
                <w:tblHeader/>
                <w:jc w:val="center"/>
              </w:trPr>
              <w:tc>
                <w:tcPr>
                  <w:tcW w:w="9195" w:type="dxa"/>
                  <w:gridSpan w:val="3"/>
                  <w:tcBorders>
                    <w:top w:val="thinThickSmallGap" w:color="auto" w:sz="18" w:space="0"/>
                    <w:left w:val="thinThickSmallGap" w:color="auto" w:sz="18" w:space="0"/>
                    <w:bottom w:val="single" w:color="auto" w:sz="6" w:space="0"/>
                    <w:right w:val="thickThinSmallGap" w:color="auto" w:sz="18" w:space="0"/>
                  </w:tcBorders>
                  <w:vAlign w:val="center"/>
                </w:tcPr>
                <w:p>
                  <w:pPr>
                    <w:spacing w:before="120" w:beforeLines="50" w:line="360" w:lineRule="auto"/>
                    <w:ind w:firstLine="251" w:firstLineChars="104"/>
                    <w:rPr>
                      <w:rFonts w:ascii="宋体" w:hAnsi="宋体"/>
                      <w:b/>
                      <w:sz w:val="24"/>
                    </w:rPr>
                  </w:pPr>
                  <w:r>
                    <w:rPr>
                      <w:rFonts w:ascii="宋体" w:hAnsi="宋体"/>
                      <w:b/>
                      <w:sz w:val="24"/>
                    </w:rPr>
                    <w:t>1.1</w:t>
                  </w:r>
                  <w:r>
                    <w:rPr>
                      <w:rFonts w:hint="eastAsia" w:ascii="宋体" w:hAnsi="宋体"/>
                      <w:b/>
                      <w:sz w:val="24"/>
                    </w:rPr>
                    <w:t>价格分</w:t>
                  </w:r>
                  <w:r>
                    <w:rPr>
                      <w:rFonts w:ascii="宋体" w:hAnsi="宋体"/>
                      <w:b/>
                      <w:sz w:val="24"/>
                    </w:rPr>
                    <w:t>F1</w:t>
                  </w:r>
                  <w:r>
                    <w:rPr>
                      <w:rFonts w:hint="eastAsia" w:ascii="宋体" w:hAnsi="宋体"/>
                      <w:b/>
                      <w:sz w:val="24"/>
                    </w:rPr>
                    <w:t>（满分</w:t>
                  </w:r>
                  <w:r>
                    <w:rPr>
                      <w:rFonts w:hint="eastAsia" w:ascii="宋体" w:hAnsi="宋体"/>
                      <w:b/>
                      <w:sz w:val="24"/>
                      <w:lang w:val="en-US" w:eastAsia="zh-CN"/>
                    </w:rPr>
                    <w:t>70</w:t>
                  </w:r>
                  <w:r>
                    <w:rPr>
                      <w:rFonts w:ascii="宋体" w:hAnsi="宋体"/>
                      <w:b/>
                      <w:sz w:val="24"/>
                    </w:rPr>
                    <w:t>分）</w:t>
                  </w:r>
                </w:p>
                <w:p>
                  <w:pPr>
                    <w:spacing w:line="360" w:lineRule="auto"/>
                    <w:ind w:firstLine="249" w:firstLineChars="104"/>
                    <w:rPr>
                      <w:rFonts w:ascii="宋体" w:hAnsi="宋体"/>
                      <w:sz w:val="24"/>
                    </w:rPr>
                  </w:pPr>
                  <w:r>
                    <w:rPr>
                      <w:rFonts w:ascii="宋体" w:hAnsi="宋体"/>
                      <w:sz w:val="24"/>
                    </w:rPr>
                    <w:t>1.1.1</w:t>
                  </w:r>
                  <w:r>
                    <w:rPr>
                      <w:rFonts w:hint="eastAsia" w:ascii="宋体" w:hAnsi="宋体"/>
                      <w:sz w:val="24"/>
                    </w:rPr>
                    <w:t>评标基准价及价格分</w:t>
                  </w:r>
                </w:p>
                <w:p>
                  <w:pPr>
                    <w:spacing w:line="360" w:lineRule="auto"/>
                    <w:ind w:firstLine="249" w:firstLineChars="104"/>
                    <w:rPr>
                      <w:rFonts w:ascii="宋体" w:hAnsi="宋体"/>
                      <w:sz w:val="24"/>
                    </w:rPr>
                  </w:pPr>
                  <w:r>
                    <w:rPr>
                      <w:rFonts w:hint="eastAsia" w:ascii="宋体" w:hAnsi="宋体"/>
                      <w:sz w:val="24"/>
                    </w:rPr>
                    <w:t>评标基准价计算方法采用低价优先法，即满足招标文件要求且评标价最低的</w:t>
                  </w:r>
                  <w:r>
                    <w:rPr>
                      <w:rFonts w:hint="eastAsia" w:ascii="宋体" w:hAnsi="宋体"/>
                      <w:spacing w:val="6"/>
                      <w:sz w:val="24"/>
                    </w:rPr>
                    <w:t>评标价</w:t>
                  </w:r>
                  <w:r>
                    <w:rPr>
                      <w:rFonts w:hint="eastAsia" w:ascii="宋体" w:hAnsi="宋体"/>
                      <w:sz w:val="24"/>
                    </w:rPr>
                    <w:t>作为评标基准价，其价格分为满分。其他投标人价格分按下列公式计算：</w:t>
                  </w:r>
                </w:p>
                <w:p>
                  <w:pPr>
                    <w:spacing w:line="360" w:lineRule="auto"/>
                    <w:ind w:firstLine="249" w:firstLineChars="104"/>
                    <w:rPr>
                      <w:rFonts w:ascii="宋体" w:hAnsi="宋体"/>
                      <w:spacing w:val="6"/>
                      <w:sz w:val="24"/>
                    </w:rPr>
                  </w:pPr>
                  <w:r>
                    <w:rPr>
                      <w:rFonts w:hint="eastAsia" w:ascii="宋体" w:hAnsi="宋体"/>
                      <w:sz w:val="24"/>
                    </w:rPr>
                    <w:t>投标人的价格分</w:t>
                  </w:r>
                  <w:r>
                    <w:rPr>
                      <w:rFonts w:ascii="宋体" w:hAnsi="宋体"/>
                      <w:sz w:val="24"/>
                    </w:rPr>
                    <w:t>F1=7</w:t>
                  </w:r>
                  <w:r>
                    <w:rPr>
                      <w:rFonts w:hint="eastAsia" w:ascii="宋体" w:hAnsi="宋体"/>
                      <w:sz w:val="24"/>
                      <w:lang w:val="en-US" w:eastAsia="zh-CN"/>
                    </w:rPr>
                    <w:t>0</w:t>
                  </w:r>
                  <w:r>
                    <w:rPr>
                      <w:rFonts w:ascii="宋体" w:hAnsi="宋体"/>
                      <w:sz w:val="24"/>
                    </w:rPr>
                    <w:t>×评标基准价/投标人的评标价</w:t>
                  </w:r>
                </w:p>
                <w:p>
                  <w:pPr>
                    <w:tabs>
                      <w:tab w:val="left" w:pos="900"/>
                      <w:tab w:val="left" w:pos="1080"/>
                    </w:tabs>
                    <w:spacing w:line="360" w:lineRule="auto"/>
                    <w:jc w:val="center"/>
                    <w:rPr>
                      <w:rFonts w:hint="eastAsia" w:ascii="宋体" w:hAnsi="宋体" w:eastAsia="宋体" w:cs="宋体"/>
                      <w:color w:val="auto"/>
                      <w:sz w:val="24"/>
                      <w:highlight w:val="none"/>
                    </w:rPr>
                  </w:pP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9195" w:type="dxa"/>
                  <w:gridSpan w:val="3"/>
                  <w:tcBorders>
                    <w:top w:val="single" w:color="auto" w:sz="6" w:space="0"/>
                    <w:left w:val="thinThickSmallGap" w:color="auto" w:sz="18" w:space="0"/>
                    <w:bottom w:val="single" w:color="auto" w:sz="6" w:space="0"/>
                    <w:right w:val="thickThinSmallGap" w:color="auto" w:sz="18" w:space="0"/>
                  </w:tcBorders>
                  <w:vAlign w:val="center"/>
                </w:tcPr>
                <w:p>
                  <w:pPr>
                    <w:spacing w:line="360" w:lineRule="auto"/>
                    <w:jc w:val="center"/>
                    <w:rPr>
                      <w:rFonts w:hint="eastAsia" w:ascii="宋体" w:hAnsi="宋体" w:eastAsia="宋体" w:cs="宋体"/>
                      <w:b/>
                      <w:bCs/>
                      <w:color w:val="auto"/>
                      <w:sz w:val="24"/>
                      <w:highlight w:val="none"/>
                    </w:rPr>
                  </w:pPr>
                  <w:r>
                    <w:rPr>
                      <w:rFonts w:hint="eastAsia" w:ascii="宋体" w:hAnsi="宋体" w:eastAsia="宋体" w:cs="宋体"/>
                      <w:b/>
                      <w:color w:val="auto"/>
                      <w:sz w:val="24"/>
                      <w:highlight w:val="none"/>
                    </w:rPr>
                    <w:t>2、商务</w:t>
                  </w:r>
                  <w:r>
                    <w:rPr>
                      <w:rFonts w:hint="eastAsia" w:ascii="宋体" w:hAnsi="宋体" w:eastAsia="宋体" w:cs="宋体"/>
                      <w:b/>
                      <w:color w:val="auto"/>
                      <w:sz w:val="24"/>
                      <w:highlight w:val="none"/>
                      <w:lang w:val="en-US" w:eastAsia="zh-CN"/>
                    </w:rPr>
                    <w:t>分F2</w:t>
                  </w:r>
                  <w:r>
                    <w:rPr>
                      <w:rFonts w:hint="eastAsia" w:ascii="宋体" w:hAnsi="宋体" w:eastAsia="宋体" w:cs="宋体"/>
                      <w:b/>
                      <w:color w:val="auto"/>
                      <w:sz w:val="24"/>
                      <w:highlight w:val="none"/>
                    </w:rPr>
                    <w:t>（满分</w:t>
                  </w:r>
                  <w:r>
                    <w:rPr>
                      <w:rFonts w:hint="eastAsia" w:ascii="宋体" w:hAnsi="宋体" w:cs="宋体"/>
                      <w:b/>
                      <w:color w:val="auto"/>
                      <w:sz w:val="24"/>
                      <w:highlight w:val="none"/>
                      <w:lang w:val="en-US" w:eastAsia="zh-CN"/>
                    </w:rPr>
                    <w:t>30</w:t>
                  </w:r>
                  <w:r>
                    <w:rPr>
                      <w:rFonts w:hint="eastAsia" w:ascii="宋体" w:hAnsi="宋体" w:eastAsia="宋体" w:cs="宋体"/>
                      <w:b/>
                      <w:color w:val="auto"/>
                      <w:sz w:val="24"/>
                      <w:highlight w:val="none"/>
                    </w:rPr>
                    <w:t>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rPr>
                    <w:t>2-1</w:t>
                  </w:r>
                </w:p>
              </w:tc>
              <w:tc>
                <w:tcPr>
                  <w:tcW w:w="7645"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hint="eastAsia" w:ascii="宋体" w:hAnsi="宋体" w:eastAsia="宋体" w:cs="宋体"/>
                      <w:color w:val="auto"/>
                      <w:kern w:val="0"/>
                      <w:sz w:val="24"/>
                      <w:szCs w:val="24"/>
                      <w:highlight w:val="none"/>
                      <w:lang w:val="en-US" w:eastAsia="zh-CN" w:bidi="en-US"/>
                    </w:rPr>
                  </w:pPr>
                  <w:r>
                    <w:rPr>
                      <w:rFonts w:hint="eastAsia" w:ascii="宋体" w:hAnsi="宋体" w:eastAsia="宋体" w:cs="Arial"/>
                      <w:color w:val="auto"/>
                      <w:kern w:val="2"/>
                      <w:sz w:val="24"/>
                      <w:szCs w:val="24"/>
                      <w:highlight w:val="none"/>
                      <w:lang w:val="en-US" w:eastAsia="zh-CN" w:bidi="ar"/>
                    </w:rPr>
                    <w:t>投标人通过GB/T19001-2016/ISO9001:2015质量管理体系认证，得1分；通过GBT24001-2016/ISO14001:2015环境管理体系认证，得1分；通过GBT45001-2020/ISO45001:2018职业健康安全管理体系认证，得1分（须提供资质证明材料复印件，加盖投标人公章</w:t>
                  </w:r>
                  <w:r>
                    <w:rPr>
                      <w:rFonts w:hint="eastAsia" w:ascii="宋体" w:hAnsi="宋体" w:cs="Arial"/>
                      <w:color w:val="auto"/>
                      <w:kern w:val="2"/>
                      <w:sz w:val="24"/>
                      <w:szCs w:val="24"/>
                      <w:highlight w:val="none"/>
                      <w:lang w:val="en-US" w:eastAsia="zh-CN" w:bidi="ar"/>
                    </w:rPr>
                    <w:t>。）</w:t>
                  </w:r>
                </w:p>
              </w:tc>
              <w:tc>
                <w:tcPr>
                  <w:tcW w:w="768"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eastAsia" w:ascii="宋体" w:hAnsi="宋体" w:eastAsia="宋体" w:cs="宋体"/>
                      <w:bCs/>
                      <w:color w:val="auto"/>
                      <w:kern w:val="0"/>
                      <w:sz w:val="24"/>
                      <w:szCs w:val="24"/>
                      <w:highlight w:val="none"/>
                      <w:lang w:val="en-US" w:eastAsia="zh-CN" w:bidi="en-US"/>
                    </w:rPr>
                  </w:pPr>
                  <w:r>
                    <w:rPr>
                      <w:rFonts w:hint="eastAsia" w:ascii="宋体" w:hAnsi="宋体" w:eastAsia="宋体" w:cs="宋体"/>
                      <w:bCs/>
                      <w:color w:val="auto"/>
                      <w:kern w:val="0"/>
                      <w:sz w:val="24"/>
                      <w:highlight w:val="none"/>
                      <w:lang w:bidi="en-US"/>
                    </w:rPr>
                    <w:t>3分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2-2</w:t>
                  </w:r>
                </w:p>
              </w:tc>
              <w:tc>
                <w:tcPr>
                  <w:tcW w:w="7645"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hint="eastAsia" w:ascii="宋体" w:hAnsi="宋体" w:eastAsia="宋体" w:cs="Arial"/>
                      <w:color w:val="auto"/>
                      <w:kern w:val="2"/>
                      <w:sz w:val="24"/>
                      <w:szCs w:val="24"/>
                      <w:highlight w:val="none"/>
                      <w:lang w:val="en-US" w:eastAsia="zh-CN" w:bidi="ar"/>
                    </w:rPr>
                  </w:pPr>
                  <w:r>
                    <w:rPr>
                      <w:rFonts w:hint="eastAsia" w:ascii="宋体" w:hAnsi="宋体" w:cs="宋体"/>
                      <w:color w:val="auto"/>
                      <w:kern w:val="0"/>
                      <w:sz w:val="24"/>
                      <w:highlight w:val="none"/>
                      <w:lang w:bidi="en-US"/>
                    </w:rPr>
                    <w:t>根据投标人提供的维护保养计划，售后服务管理情况，由评委进行评分：针对本项目的各项维护保养计划完善，售后服务管理各项质量指标完备、承诺明确清晰得</w:t>
                  </w:r>
                  <w:r>
                    <w:rPr>
                      <w:rFonts w:hint="eastAsia" w:ascii="宋体" w:hAnsi="宋体" w:cs="宋体"/>
                      <w:color w:val="auto"/>
                      <w:kern w:val="0"/>
                      <w:sz w:val="24"/>
                      <w:highlight w:val="none"/>
                      <w:lang w:eastAsia="zh-CN" w:bidi="en-US"/>
                    </w:rPr>
                    <w:t>6</w:t>
                  </w:r>
                  <w:r>
                    <w:rPr>
                      <w:rFonts w:hint="eastAsia" w:ascii="宋体" w:hAnsi="宋体" w:cs="宋体"/>
                      <w:color w:val="auto"/>
                      <w:kern w:val="0"/>
                      <w:sz w:val="24"/>
                      <w:highlight w:val="none"/>
                      <w:lang w:bidi="en-US"/>
                    </w:rPr>
                    <w:t>分；针对本项目的各项维护保养计划较完善，售后服务管理各项质量指标较完备、承诺较清晰得</w:t>
                  </w:r>
                  <w:r>
                    <w:rPr>
                      <w:rFonts w:hint="eastAsia" w:ascii="宋体" w:hAnsi="宋体" w:cs="宋体"/>
                      <w:color w:val="auto"/>
                      <w:kern w:val="0"/>
                      <w:sz w:val="24"/>
                      <w:highlight w:val="none"/>
                      <w:lang w:eastAsia="zh-CN" w:bidi="en-US"/>
                    </w:rPr>
                    <w:t>2</w:t>
                  </w:r>
                  <w:r>
                    <w:rPr>
                      <w:rFonts w:hint="eastAsia" w:ascii="宋体" w:hAnsi="宋体" w:cs="宋体"/>
                      <w:color w:val="auto"/>
                      <w:kern w:val="0"/>
                      <w:sz w:val="24"/>
                      <w:highlight w:val="none"/>
                      <w:lang w:bidi="en-US"/>
                    </w:rPr>
                    <w:t>分； 针对本项目的各项维护保养计划不完善，售后服务管理各项质量指标不完备、承诺不清晰得</w:t>
                  </w:r>
                  <w:r>
                    <w:rPr>
                      <w:rFonts w:hint="eastAsia" w:ascii="宋体" w:hAnsi="宋体" w:cs="宋体"/>
                      <w:color w:val="auto"/>
                      <w:kern w:val="0"/>
                      <w:sz w:val="24"/>
                      <w:highlight w:val="none"/>
                      <w:lang w:eastAsia="zh-CN" w:bidi="en-US"/>
                    </w:rPr>
                    <w:t>2</w:t>
                  </w:r>
                  <w:r>
                    <w:rPr>
                      <w:rFonts w:hint="eastAsia" w:ascii="宋体" w:hAnsi="宋体" w:cs="宋体"/>
                      <w:color w:val="auto"/>
                      <w:kern w:val="0"/>
                      <w:sz w:val="24"/>
                      <w:highlight w:val="none"/>
                      <w:lang w:bidi="en-US"/>
                    </w:rPr>
                    <w:t>分；未提供不得分。</w:t>
                  </w:r>
                </w:p>
              </w:tc>
              <w:tc>
                <w:tcPr>
                  <w:tcW w:w="768"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eastAsia" w:ascii="宋体" w:hAnsi="宋体" w:eastAsia="宋体" w:cs="宋体"/>
                      <w:bCs/>
                      <w:color w:val="auto"/>
                      <w:kern w:val="0"/>
                      <w:sz w:val="24"/>
                      <w:szCs w:val="24"/>
                      <w:highlight w:val="none"/>
                      <w:lang w:val="en-US" w:eastAsia="zh-CN" w:bidi="en-US"/>
                    </w:rPr>
                  </w:pPr>
                  <w:r>
                    <w:rPr>
                      <w:rFonts w:hint="eastAsia" w:ascii="宋体" w:hAnsi="宋体" w:cs="宋体"/>
                      <w:bCs/>
                      <w:color w:val="auto"/>
                      <w:kern w:val="0"/>
                      <w:sz w:val="24"/>
                      <w:highlight w:val="none"/>
                      <w:lang w:val="en-US" w:eastAsia="zh-CN" w:bidi="en-US"/>
                    </w:rPr>
                    <w:t>6</w:t>
                  </w:r>
                  <w:r>
                    <w:rPr>
                      <w:rFonts w:hint="eastAsia" w:ascii="宋体" w:hAnsi="宋体" w:eastAsia="宋体" w:cs="宋体"/>
                      <w:bCs/>
                      <w:color w:val="auto"/>
                      <w:kern w:val="0"/>
                      <w:sz w:val="24"/>
                      <w:highlight w:val="none"/>
                      <w:lang w:bidi="en-US"/>
                    </w:rPr>
                    <w:t>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p>
              </w:tc>
              <w:tc>
                <w:tcPr>
                  <w:tcW w:w="7645" w:type="dxa"/>
                  <w:tcBorders>
                    <w:top w:val="single" w:color="auto" w:sz="6" w:space="0"/>
                    <w:left w:val="single" w:color="auto" w:sz="6" w:space="0"/>
                    <w:bottom w:val="single" w:color="auto" w:sz="6" w:space="0"/>
                    <w:right w:val="single" w:color="auto" w:sz="6" w:space="0"/>
                  </w:tcBorders>
                  <w:vAlign w:val="center"/>
                </w:tcPr>
                <w:p>
                  <w:pPr>
                    <w:widowControl/>
                    <w:spacing w:line="360" w:lineRule="auto"/>
                    <w:jc w:val="left"/>
                    <w:rPr>
                      <w:rFonts w:hint="default" w:ascii="宋体" w:hAnsi="宋体" w:eastAsia="宋体" w:cs="宋体"/>
                      <w:color w:val="auto"/>
                      <w:kern w:val="0"/>
                      <w:sz w:val="24"/>
                      <w:szCs w:val="24"/>
                      <w:highlight w:val="none"/>
                      <w:lang w:val="en-US" w:eastAsia="zh-CN" w:bidi="en-US"/>
                    </w:rPr>
                  </w:pPr>
                  <w:r>
                    <w:rPr>
                      <w:rFonts w:hint="eastAsia" w:ascii="宋体" w:hAnsi="宋体" w:eastAsia="宋体" w:cs="宋体"/>
                      <w:color w:val="auto"/>
                      <w:kern w:val="0"/>
                      <w:sz w:val="24"/>
                      <w:szCs w:val="22"/>
                      <w:highlight w:val="none"/>
                      <w:lang w:val="en-US" w:eastAsia="zh-CN" w:bidi="ar"/>
                    </w:rPr>
                    <w:t>为保障项目的沟通交流和应急处理能力：</w:t>
                  </w:r>
                  <w:r>
                    <w:rPr>
                      <w:rFonts w:hint="eastAsia" w:ascii="宋体" w:hAnsi="宋体" w:eastAsia="宋体" w:cs="宋体"/>
                      <w:color w:val="auto"/>
                      <w:kern w:val="0"/>
                      <w:sz w:val="24"/>
                      <w:highlight w:val="none"/>
                      <w:lang w:bidi="en-US"/>
                    </w:rPr>
                    <w:t>投标人</w:t>
                  </w:r>
                  <w:r>
                    <w:rPr>
                      <w:rFonts w:hint="eastAsia" w:ascii="宋体" w:hAnsi="宋体" w:eastAsia="宋体" w:cs="宋体"/>
                      <w:color w:val="auto"/>
                      <w:kern w:val="0"/>
                      <w:sz w:val="24"/>
                      <w:highlight w:val="none"/>
                      <w:lang w:val="en-US" w:eastAsia="zh-CN" w:bidi="en-US"/>
                    </w:rPr>
                    <w:t>能</w:t>
                  </w:r>
                  <w:r>
                    <w:rPr>
                      <w:rFonts w:hint="eastAsia" w:ascii="宋体" w:hAnsi="宋体" w:eastAsia="宋体" w:cs="宋体"/>
                      <w:color w:val="auto"/>
                      <w:kern w:val="0"/>
                      <w:sz w:val="24"/>
                      <w:highlight w:val="none"/>
                      <w:lang w:bidi="en-US"/>
                    </w:rPr>
                    <w:t>提供厦门本地化服务的得</w:t>
                  </w:r>
                  <w:r>
                    <w:rPr>
                      <w:rFonts w:hint="eastAsia" w:ascii="宋体" w:hAnsi="宋体" w:eastAsia="宋体" w:cs="宋体"/>
                      <w:color w:val="auto"/>
                      <w:kern w:val="0"/>
                      <w:sz w:val="24"/>
                      <w:highlight w:val="none"/>
                      <w:lang w:val="en-US" w:eastAsia="zh-CN" w:bidi="en-US"/>
                    </w:rPr>
                    <w:t>3</w:t>
                  </w:r>
                  <w:r>
                    <w:rPr>
                      <w:rFonts w:hint="eastAsia" w:ascii="宋体" w:hAnsi="宋体" w:eastAsia="宋体" w:cs="宋体"/>
                      <w:color w:val="auto"/>
                      <w:kern w:val="0"/>
                      <w:sz w:val="24"/>
                      <w:highlight w:val="none"/>
                      <w:lang w:bidi="en-US"/>
                    </w:rPr>
                    <w:t>分，否则不得分。</w:t>
                  </w:r>
                  <w:r>
                    <w:rPr>
                      <w:rFonts w:hint="eastAsia" w:ascii="宋体" w:hAnsi="宋体" w:eastAsia="宋体" w:cs="宋体"/>
                      <w:b w:val="0"/>
                      <w:bCs w:val="0"/>
                      <w:color w:val="auto"/>
                      <w:kern w:val="0"/>
                      <w:sz w:val="24"/>
                      <w:highlight w:val="none"/>
                      <w:lang w:bidi="en-US"/>
                    </w:rPr>
                    <w:t>投标人可提供自身机构</w:t>
                  </w:r>
                  <w:r>
                    <w:rPr>
                      <w:rFonts w:hint="eastAsia" w:ascii="宋体" w:hAnsi="宋体" w:eastAsia="宋体" w:cs="宋体"/>
                      <w:b w:val="0"/>
                      <w:bCs w:val="0"/>
                      <w:color w:val="auto"/>
                      <w:kern w:val="0"/>
                      <w:sz w:val="24"/>
                      <w:highlight w:val="none"/>
                      <w:lang w:val="en-US" w:eastAsia="zh-CN" w:bidi="en-US"/>
                    </w:rPr>
                    <w:t>或分支机构</w:t>
                  </w:r>
                  <w:r>
                    <w:rPr>
                      <w:rFonts w:hint="eastAsia" w:ascii="宋体" w:hAnsi="宋体" w:eastAsia="宋体" w:cs="宋体"/>
                      <w:b w:val="0"/>
                      <w:bCs w:val="0"/>
                      <w:color w:val="auto"/>
                      <w:kern w:val="0"/>
                      <w:sz w:val="24"/>
                      <w:highlight w:val="none"/>
                      <w:lang w:bidi="en-US"/>
                    </w:rPr>
                    <w:t>的营业执照证明</w:t>
                  </w:r>
                  <w:r>
                    <w:rPr>
                      <w:rFonts w:hint="eastAsia" w:ascii="宋体" w:hAnsi="宋体" w:eastAsia="宋体" w:cs="宋体"/>
                      <w:b w:val="0"/>
                      <w:bCs w:val="0"/>
                      <w:color w:val="auto"/>
                      <w:kern w:val="0"/>
                      <w:sz w:val="24"/>
                      <w:highlight w:val="none"/>
                      <w:lang w:val="en-US" w:eastAsia="zh-CN" w:bidi="en-US"/>
                    </w:rPr>
                    <w:t>或者</w:t>
                  </w:r>
                  <w:r>
                    <w:rPr>
                      <w:rFonts w:hint="eastAsia" w:ascii="宋体" w:hAnsi="宋体" w:eastAsia="宋体" w:cs="宋体"/>
                      <w:b w:val="0"/>
                      <w:bCs w:val="0"/>
                      <w:color w:val="auto"/>
                      <w:kern w:val="0"/>
                      <w:sz w:val="24"/>
                      <w:highlight w:val="none"/>
                      <w:lang w:bidi="en-US"/>
                    </w:rPr>
                    <w:t>提供在本地设立的项目部、办公室、办事处等机构证明或者承诺中标后</w:t>
                  </w:r>
                  <w:r>
                    <w:rPr>
                      <w:rFonts w:hint="eastAsia" w:ascii="宋体" w:hAnsi="宋体" w:eastAsia="宋体" w:cs="宋体"/>
                      <w:b w:val="0"/>
                      <w:bCs w:val="0"/>
                      <w:color w:val="auto"/>
                      <w:kern w:val="0"/>
                      <w:sz w:val="24"/>
                      <w:highlight w:val="none"/>
                      <w:lang w:val="en-US" w:eastAsia="zh-CN" w:bidi="en-US"/>
                    </w:rPr>
                    <w:t>能</w:t>
                  </w:r>
                  <w:r>
                    <w:rPr>
                      <w:rFonts w:hint="eastAsia" w:ascii="宋体" w:hAnsi="宋体" w:eastAsia="宋体" w:cs="宋体"/>
                      <w:b w:val="0"/>
                      <w:bCs w:val="0"/>
                      <w:color w:val="auto"/>
                      <w:kern w:val="0"/>
                      <w:sz w:val="24"/>
                      <w:highlight w:val="none"/>
                      <w:lang w:bidi="en-US"/>
                    </w:rPr>
                    <w:t>提供本地化服务</w:t>
                  </w:r>
                  <w:r>
                    <w:rPr>
                      <w:rFonts w:hint="eastAsia" w:ascii="宋体" w:hAnsi="宋体" w:eastAsia="宋体" w:cs="宋体"/>
                      <w:b w:val="0"/>
                      <w:bCs w:val="0"/>
                      <w:color w:val="auto"/>
                      <w:kern w:val="0"/>
                      <w:sz w:val="24"/>
                      <w:highlight w:val="none"/>
                      <w:lang w:eastAsia="zh-CN" w:bidi="en-US"/>
                    </w:rPr>
                    <w:t>，</w:t>
                  </w:r>
                  <w:r>
                    <w:rPr>
                      <w:rFonts w:hint="eastAsia" w:ascii="宋体" w:hAnsi="宋体" w:eastAsia="宋体" w:cs="宋体"/>
                      <w:b w:val="0"/>
                      <w:bCs w:val="0"/>
                      <w:color w:val="auto"/>
                      <w:kern w:val="0"/>
                      <w:sz w:val="24"/>
                      <w:highlight w:val="none"/>
                      <w:lang w:val="en-US" w:eastAsia="zh-CN" w:bidi="en-US"/>
                    </w:rPr>
                    <w:t>否则不得分</w:t>
                  </w:r>
                  <w:r>
                    <w:rPr>
                      <w:rFonts w:hint="eastAsia" w:ascii="宋体" w:hAnsi="宋体" w:eastAsia="宋体" w:cs="宋体"/>
                      <w:b w:val="0"/>
                      <w:bCs w:val="0"/>
                      <w:color w:val="auto"/>
                      <w:kern w:val="0"/>
                      <w:sz w:val="24"/>
                      <w:highlight w:val="none"/>
                      <w:lang w:bidi="en-US"/>
                    </w:rPr>
                    <w:t>。</w:t>
                  </w:r>
                </w:p>
              </w:tc>
              <w:tc>
                <w:tcPr>
                  <w:tcW w:w="768"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eastAsia" w:ascii="宋体" w:hAnsi="宋体" w:eastAsia="宋体" w:cs="宋体"/>
                      <w:bCs/>
                      <w:color w:val="auto"/>
                      <w:kern w:val="0"/>
                      <w:sz w:val="24"/>
                      <w:szCs w:val="24"/>
                      <w:highlight w:val="none"/>
                      <w:lang w:val="en-US" w:eastAsia="zh-CN" w:bidi="en-US"/>
                    </w:rPr>
                  </w:pPr>
                  <w:r>
                    <w:rPr>
                      <w:rFonts w:hint="eastAsia" w:ascii="宋体" w:hAnsi="宋体" w:eastAsia="宋体" w:cs="宋体"/>
                      <w:bCs/>
                      <w:color w:val="auto"/>
                      <w:kern w:val="0"/>
                      <w:sz w:val="24"/>
                      <w:highlight w:val="none"/>
                      <w:lang w:val="en-US" w:eastAsia="zh-CN" w:bidi="en-US"/>
                    </w:rPr>
                    <w:t>3</w:t>
                  </w:r>
                  <w:r>
                    <w:rPr>
                      <w:rFonts w:hint="eastAsia" w:ascii="宋体" w:hAnsi="宋体" w:eastAsia="宋体" w:cs="宋体"/>
                      <w:bCs/>
                      <w:color w:val="auto"/>
                      <w:kern w:val="0"/>
                      <w:sz w:val="24"/>
                      <w:highlight w:val="none"/>
                      <w:lang w:bidi="en-US"/>
                    </w:rPr>
                    <w:t>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4</w:t>
                  </w:r>
                </w:p>
              </w:tc>
              <w:tc>
                <w:tcPr>
                  <w:tcW w:w="7645"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1"/>
                      <w:sz w:val="24"/>
                      <w:szCs w:val="22"/>
                      <w:highlight w:val="none"/>
                      <w:lang w:val="en-US"/>
                    </w:rPr>
                  </w:pPr>
                  <w:r>
                    <w:rPr>
                      <w:rFonts w:hint="eastAsia" w:ascii="宋体" w:hAnsi="宋体" w:cs="宋体"/>
                      <w:color w:val="auto"/>
                      <w:kern w:val="1"/>
                      <w:sz w:val="24"/>
                      <w:szCs w:val="22"/>
                      <w:highlight w:val="none"/>
                      <w:lang w:val="en-US" w:eastAsia="zh-CN" w:bidi="ar"/>
                    </w:rPr>
                    <w:t>码头智能化设施维养</w:t>
                  </w:r>
                  <w:r>
                    <w:rPr>
                      <w:rFonts w:hint="eastAsia" w:ascii="宋体" w:hAnsi="宋体" w:eastAsia="宋体" w:cs="宋体"/>
                      <w:color w:val="auto"/>
                      <w:kern w:val="1"/>
                      <w:sz w:val="24"/>
                      <w:szCs w:val="22"/>
                      <w:highlight w:val="none"/>
                      <w:lang w:val="en-US" w:eastAsia="zh-CN" w:bidi="ar"/>
                    </w:rPr>
                    <w:t>类似业绩：</w:t>
                  </w:r>
                </w:p>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1"/>
                      <w:sz w:val="24"/>
                      <w:szCs w:val="24"/>
                      <w:highlight w:val="none"/>
                      <w:lang w:val="en-US"/>
                    </w:rPr>
                  </w:pPr>
                  <w:r>
                    <w:rPr>
                      <w:rFonts w:hint="eastAsia" w:ascii="宋体" w:hAnsi="宋体" w:eastAsia="宋体" w:cs="宋体"/>
                      <w:color w:val="auto"/>
                      <w:kern w:val="1"/>
                      <w:sz w:val="24"/>
                      <w:szCs w:val="22"/>
                      <w:highlight w:val="none"/>
                      <w:lang w:val="en-US" w:eastAsia="zh-CN" w:bidi="ar"/>
                    </w:rPr>
                    <w:t>根据投标人2019年1月1日至今（以合同签订时间为准）已签订或正在履行的</w:t>
                  </w:r>
                  <w:r>
                    <w:rPr>
                      <w:rFonts w:hint="eastAsia" w:ascii="宋体" w:hAnsi="宋体" w:cs="宋体"/>
                      <w:color w:val="auto"/>
                      <w:kern w:val="1"/>
                      <w:sz w:val="24"/>
                      <w:szCs w:val="22"/>
                      <w:highlight w:val="none"/>
                      <w:lang w:val="en-US" w:eastAsia="zh-CN" w:bidi="ar"/>
                    </w:rPr>
                    <w:t>码头智能化设施维养</w:t>
                  </w:r>
                  <w:r>
                    <w:rPr>
                      <w:rFonts w:hint="eastAsia" w:ascii="宋体" w:hAnsi="宋体" w:eastAsia="宋体" w:cs="宋体"/>
                      <w:color w:val="auto"/>
                      <w:kern w:val="1"/>
                      <w:sz w:val="24"/>
                      <w:szCs w:val="22"/>
                      <w:highlight w:val="none"/>
                      <w:lang w:val="en-US" w:eastAsia="zh-CN" w:bidi="ar"/>
                    </w:rPr>
                    <w:t>类似项目的，</w:t>
                  </w:r>
                  <w:r>
                    <w:rPr>
                      <w:rFonts w:hint="eastAsia" w:ascii="宋体" w:hAnsi="宋体" w:eastAsia="宋体" w:cs="宋体"/>
                      <w:color w:val="auto"/>
                      <w:kern w:val="1"/>
                      <w:sz w:val="24"/>
                      <w:szCs w:val="22"/>
                      <w:highlight w:val="none"/>
                      <w:lang w:eastAsia="zh-CN"/>
                    </w:rPr>
                    <w:t>每提供</w:t>
                  </w:r>
                  <w:r>
                    <w:rPr>
                      <w:rFonts w:hint="eastAsia" w:ascii="宋体" w:hAnsi="宋体" w:eastAsia="宋体" w:cs="宋体"/>
                      <w:color w:val="auto"/>
                      <w:kern w:val="1"/>
                      <w:sz w:val="24"/>
                      <w:szCs w:val="22"/>
                      <w:highlight w:val="none"/>
                      <w:lang w:val="en-US"/>
                    </w:rPr>
                    <w:t>1</w:t>
                  </w:r>
                  <w:r>
                    <w:rPr>
                      <w:rFonts w:hint="eastAsia" w:ascii="宋体" w:hAnsi="宋体" w:eastAsia="宋体" w:cs="宋体"/>
                      <w:color w:val="auto"/>
                      <w:kern w:val="1"/>
                      <w:sz w:val="24"/>
                      <w:szCs w:val="22"/>
                      <w:highlight w:val="none"/>
                      <w:lang w:eastAsia="zh-CN"/>
                    </w:rPr>
                    <w:t>个有效业绩得</w:t>
                  </w:r>
                  <w:r>
                    <w:rPr>
                      <w:rFonts w:hint="eastAsia" w:ascii="宋体" w:hAnsi="宋体" w:cs="宋体"/>
                      <w:color w:val="auto"/>
                      <w:kern w:val="1"/>
                      <w:sz w:val="24"/>
                      <w:szCs w:val="22"/>
                      <w:highlight w:val="none"/>
                      <w:lang w:val="en-US" w:eastAsia="zh-CN"/>
                    </w:rPr>
                    <w:t>4</w:t>
                  </w:r>
                  <w:r>
                    <w:rPr>
                      <w:rFonts w:hint="eastAsia" w:ascii="宋体" w:hAnsi="宋体" w:eastAsia="宋体" w:cs="宋体"/>
                      <w:color w:val="auto"/>
                      <w:kern w:val="1"/>
                      <w:sz w:val="24"/>
                      <w:szCs w:val="22"/>
                      <w:highlight w:val="none"/>
                      <w:lang w:eastAsia="zh-CN"/>
                    </w:rPr>
                    <w:t>分，满分</w:t>
                  </w:r>
                  <w:r>
                    <w:rPr>
                      <w:rFonts w:hint="eastAsia" w:ascii="宋体" w:hAnsi="宋体" w:cs="宋体"/>
                      <w:color w:val="auto"/>
                      <w:kern w:val="1"/>
                      <w:sz w:val="24"/>
                      <w:szCs w:val="22"/>
                      <w:highlight w:val="none"/>
                      <w:lang w:val="en-US" w:eastAsia="zh-CN"/>
                    </w:rPr>
                    <w:t>12</w:t>
                  </w:r>
                  <w:r>
                    <w:rPr>
                      <w:rFonts w:hint="eastAsia" w:ascii="宋体" w:hAnsi="宋体" w:eastAsia="宋体" w:cs="宋体"/>
                      <w:color w:val="auto"/>
                      <w:kern w:val="1"/>
                      <w:sz w:val="24"/>
                      <w:szCs w:val="22"/>
                      <w:highlight w:val="none"/>
                      <w:lang w:eastAsia="zh-CN"/>
                    </w:rPr>
                    <w:t>分。投标人需提供下述证明材料，否则不得分</w:t>
                  </w:r>
                  <w:r>
                    <w:rPr>
                      <w:rFonts w:hint="eastAsia" w:ascii="宋体" w:hAnsi="宋体" w:eastAsia="宋体" w:cs="宋体"/>
                      <w:color w:val="auto"/>
                      <w:kern w:val="1"/>
                      <w:sz w:val="24"/>
                      <w:szCs w:val="24"/>
                      <w:highlight w:val="none"/>
                      <w:lang w:eastAsia="zh-CN"/>
                    </w:rPr>
                    <w:t>：</w:t>
                  </w:r>
                </w:p>
                <w:p>
                  <w:pPr>
                    <w:widowControl/>
                    <w:spacing w:line="360" w:lineRule="auto"/>
                    <w:jc w:val="left"/>
                    <w:rPr>
                      <w:rFonts w:hint="eastAsia" w:ascii="宋体" w:hAnsi="宋体" w:eastAsia="宋体" w:cs="宋体"/>
                      <w:color w:val="auto"/>
                      <w:kern w:val="0"/>
                      <w:sz w:val="24"/>
                      <w:szCs w:val="24"/>
                      <w:highlight w:val="none"/>
                      <w:lang w:val="en-US" w:eastAsia="zh-CN" w:bidi="en-US"/>
                    </w:rPr>
                  </w:pPr>
                  <w:r>
                    <w:rPr>
                      <w:rFonts w:hint="eastAsia" w:ascii="宋体" w:hAnsi="宋体" w:eastAsia="宋体" w:cs="宋体"/>
                      <w:color w:val="auto"/>
                      <w:kern w:val="1"/>
                      <w:sz w:val="24"/>
                      <w:szCs w:val="24"/>
                      <w:highlight w:val="none"/>
                      <w:lang w:val="en-US" w:eastAsia="zh-CN" w:bidi="ar"/>
                    </w:rPr>
                    <w:t>（1）签订时间在20</w:t>
                  </w:r>
                  <w:r>
                    <w:rPr>
                      <w:rFonts w:hint="eastAsia" w:ascii="宋体" w:hAnsi="宋体" w:cs="宋体"/>
                      <w:color w:val="auto"/>
                      <w:kern w:val="1"/>
                      <w:sz w:val="24"/>
                      <w:szCs w:val="24"/>
                      <w:highlight w:val="none"/>
                      <w:lang w:val="en-US" w:eastAsia="zh-CN" w:bidi="ar"/>
                    </w:rPr>
                    <w:t>19</w:t>
                  </w:r>
                  <w:r>
                    <w:rPr>
                      <w:rFonts w:hint="eastAsia" w:ascii="宋体" w:hAnsi="宋体" w:eastAsia="宋体" w:cs="宋体"/>
                      <w:color w:val="auto"/>
                      <w:kern w:val="1"/>
                      <w:sz w:val="24"/>
                      <w:szCs w:val="24"/>
                      <w:highlight w:val="none"/>
                      <w:lang w:val="en-US" w:eastAsia="zh-CN" w:bidi="ar"/>
                    </w:rPr>
                    <w:t>年1月1日起至投标截止之日间的业绩合同关键页(关键页须体现合同双方、合同期限、合同金额、人员配置数量、项目概况、维修配件清单</w:t>
                  </w:r>
                  <w:r>
                    <w:rPr>
                      <w:rFonts w:hint="eastAsia" w:ascii="宋体" w:hAnsi="宋体" w:cs="宋体"/>
                      <w:color w:val="auto"/>
                      <w:kern w:val="1"/>
                      <w:sz w:val="24"/>
                      <w:szCs w:val="24"/>
                      <w:highlight w:val="none"/>
                      <w:lang w:val="en-US" w:eastAsia="zh-CN" w:bidi="ar"/>
                    </w:rPr>
                    <w:t>或</w:t>
                  </w:r>
                  <w:r>
                    <w:rPr>
                      <w:rFonts w:hint="eastAsia" w:ascii="宋体" w:hAnsi="宋体" w:eastAsia="宋体" w:cs="宋体"/>
                      <w:color w:val="auto"/>
                      <w:kern w:val="1"/>
                      <w:sz w:val="24"/>
                      <w:szCs w:val="24"/>
                      <w:highlight w:val="none"/>
                      <w:lang w:val="en-US" w:eastAsia="zh-CN" w:bidi="ar"/>
                    </w:rPr>
                    <w:t>维修保养标准、双方签署盖章等)复印件加盖公章，否则不得分；</w:t>
                  </w:r>
                </w:p>
              </w:tc>
              <w:tc>
                <w:tcPr>
                  <w:tcW w:w="768"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eastAsia" w:ascii="宋体" w:hAnsi="宋体" w:eastAsia="宋体" w:cs="宋体"/>
                      <w:bCs/>
                      <w:color w:val="auto"/>
                      <w:kern w:val="0"/>
                      <w:sz w:val="24"/>
                      <w:szCs w:val="24"/>
                      <w:highlight w:val="none"/>
                      <w:lang w:val="en-US" w:eastAsia="zh-CN" w:bidi="en-US"/>
                    </w:rPr>
                  </w:pPr>
                  <w:r>
                    <w:rPr>
                      <w:rFonts w:hint="eastAsia" w:ascii="宋体" w:hAnsi="宋体" w:cs="宋体"/>
                      <w:bCs/>
                      <w:color w:val="auto"/>
                      <w:kern w:val="0"/>
                      <w:sz w:val="24"/>
                      <w:highlight w:val="none"/>
                      <w:lang w:val="en-US" w:eastAsia="zh-CN" w:bidi="en-US"/>
                    </w:rPr>
                    <w:t>12分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CellMar>
                  <w:top w:w="0" w:type="dxa"/>
                  <w:left w:w="108" w:type="dxa"/>
                  <w:bottom w:w="0" w:type="dxa"/>
                  <w:right w:w="108" w:type="dxa"/>
                </w:tblCellMar>
              </w:tblPrEx>
              <w:trPr>
                <w:trHeight w:val="498" w:hRule="atLeast"/>
                <w:jc w:val="center"/>
              </w:trPr>
              <w:tc>
                <w:tcPr>
                  <w:tcW w:w="782" w:type="dxa"/>
                  <w:tcBorders>
                    <w:top w:val="single" w:color="auto" w:sz="6" w:space="0"/>
                    <w:left w:val="thinThickSmallGap" w:color="auto" w:sz="18" w:space="0"/>
                    <w:bottom w:val="single" w:color="auto" w:sz="6" w:space="0"/>
                    <w:right w:val="single" w:color="auto" w:sz="6" w:space="0"/>
                  </w:tcBorders>
                  <w:vAlign w:val="center"/>
                </w:tcPr>
                <w:p>
                  <w:pPr>
                    <w:pStyle w:val="105"/>
                    <w:spacing w:line="360" w:lineRule="auto"/>
                    <w:ind w:firstLine="0" w:firstLineChars="0"/>
                    <w:jc w:val="center"/>
                    <w:rPr>
                      <w:rFonts w:hint="default"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5</w:t>
                  </w:r>
                </w:p>
              </w:tc>
              <w:tc>
                <w:tcPr>
                  <w:tcW w:w="7645" w:type="dxa"/>
                  <w:tcBorders>
                    <w:top w:val="single" w:color="auto" w:sz="6" w:space="0"/>
                    <w:left w:val="single" w:color="auto" w:sz="6" w:space="0"/>
                    <w:bottom w:val="single" w:color="auto" w:sz="6" w:space="0"/>
                    <w:right w:val="single" w:color="auto" w:sz="6" w:space="0"/>
                  </w:tcBorders>
                  <w:vAlign w:val="center"/>
                </w:tcPr>
                <w:p>
                  <w:pPr>
                    <w:keepNext w:val="0"/>
                    <w:keepLines w:val="0"/>
                    <w:widowControl/>
                    <w:suppressLineNumbers w:val="0"/>
                    <w:spacing w:before="0" w:beforeAutospacing="0" w:after="0" w:afterAutospacing="0" w:line="360" w:lineRule="auto"/>
                    <w:ind w:left="0" w:leftChars="0" w:right="0" w:rightChars="0"/>
                    <w:jc w:val="left"/>
                    <w:rPr>
                      <w:rFonts w:hint="eastAsia" w:ascii="宋体" w:hAnsi="宋体" w:eastAsia="宋体" w:cs="宋体"/>
                      <w:color w:val="auto"/>
                      <w:kern w:val="0"/>
                      <w:sz w:val="24"/>
                      <w:highlight w:val="none"/>
                      <w:lang w:bidi="en-US"/>
                    </w:rPr>
                  </w:pPr>
                  <w:r>
                    <w:rPr>
                      <w:rFonts w:hint="eastAsia" w:ascii="宋体" w:hAnsi="宋体" w:eastAsia="宋体" w:cs="宋体"/>
                      <w:color w:val="auto"/>
                      <w:kern w:val="0"/>
                      <w:sz w:val="24"/>
                      <w:highlight w:val="none"/>
                      <w:lang w:bidi="en-US"/>
                    </w:rPr>
                    <w:t>根据投标人自2019年1月1日（以评价材料出具时间为准）以来的类似项目履行合同情况进行评价：获得采购单位考核评价为正面评价（优秀、优良、满意、良好、表扬或好评）的，每提供1个得</w:t>
                  </w:r>
                  <w:r>
                    <w:rPr>
                      <w:rFonts w:hint="eastAsia" w:ascii="宋体" w:hAnsi="宋体" w:cs="宋体"/>
                      <w:color w:val="auto"/>
                      <w:kern w:val="0"/>
                      <w:sz w:val="24"/>
                      <w:highlight w:val="none"/>
                      <w:lang w:val="en-US" w:eastAsia="zh-CN" w:bidi="en-US"/>
                    </w:rPr>
                    <w:t>2</w:t>
                  </w:r>
                  <w:r>
                    <w:rPr>
                      <w:rFonts w:hint="eastAsia" w:ascii="宋体" w:hAnsi="宋体" w:eastAsia="宋体" w:cs="宋体"/>
                      <w:color w:val="auto"/>
                      <w:kern w:val="0"/>
                      <w:sz w:val="24"/>
                      <w:highlight w:val="none"/>
                      <w:lang w:bidi="en-US"/>
                    </w:rPr>
                    <w:t>分，满分</w:t>
                  </w:r>
                  <w:r>
                    <w:rPr>
                      <w:rFonts w:hint="eastAsia" w:ascii="宋体" w:hAnsi="宋体" w:cs="宋体"/>
                      <w:color w:val="auto"/>
                      <w:kern w:val="0"/>
                      <w:sz w:val="24"/>
                      <w:highlight w:val="none"/>
                      <w:lang w:val="en-US" w:eastAsia="zh-CN" w:bidi="en-US"/>
                    </w:rPr>
                    <w:t>6</w:t>
                  </w:r>
                  <w:r>
                    <w:rPr>
                      <w:rFonts w:hint="eastAsia" w:ascii="宋体" w:hAnsi="宋体" w:eastAsia="宋体" w:cs="宋体"/>
                      <w:color w:val="auto"/>
                      <w:kern w:val="0"/>
                      <w:sz w:val="24"/>
                      <w:highlight w:val="none"/>
                      <w:lang w:bidi="en-US"/>
                    </w:rPr>
                    <w:t>分。</w:t>
                  </w:r>
                </w:p>
                <w:p>
                  <w:pPr>
                    <w:keepNext w:val="0"/>
                    <w:keepLines w:val="0"/>
                    <w:widowControl/>
                    <w:suppressLineNumbers w:val="0"/>
                    <w:spacing w:before="0" w:beforeAutospacing="0" w:after="0" w:afterAutospacing="0" w:line="360" w:lineRule="auto"/>
                    <w:ind w:left="0" w:leftChars="0" w:right="0" w:rightChars="0"/>
                    <w:jc w:val="left"/>
                    <w:rPr>
                      <w:rFonts w:hint="eastAsia" w:ascii="宋体" w:hAnsi="宋体" w:eastAsia="宋体" w:cs="宋体"/>
                      <w:color w:val="auto"/>
                      <w:kern w:val="0"/>
                      <w:sz w:val="24"/>
                      <w:szCs w:val="24"/>
                      <w:highlight w:val="none"/>
                      <w:lang w:val="en-US" w:eastAsia="zh-CN" w:bidi="en-US"/>
                    </w:rPr>
                  </w:pPr>
                  <w:r>
                    <w:rPr>
                      <w:rFonts w:hint="eastAsia" w:ascii="宋体" w:hAnsi="宋体" w:eastAsia="宋体" w:cs="宋体"/>
                      <w:color w:val="auto"/>
                      <w:kern w:val="0"/>
                      <w:sz w:val="24"/>
                      <w:highlight w:val="none"/>
                      <w:lang w:bidi="en-US"/>
                    </w:rPr>
                    <w:t>注：（1）类似项目是指：投标人承接的码头智能化设施维养类似业绩。（2）投标人需提供相应合同复印件及采购单位出具的书面评价材料（评价材料格式不限，需体现日期、采购单位加盖公章），否则不得分。</w:t>
                  </w:r>
                </w:p>
              </w:tc>
              <w:tc>
                <w:tcPr>
                  <w:tcW w:w="768" w:type="dxa"/>
                  <w:tcBorders>
                    <w:top w:val="single" w:color="auto" w:sz="6" w:space="0"/>
                    <w:left w:val="single" w:color="auto" w:sz="6" w:space="0"/>
                    <w:bottom w:val="single" w:color="auto" w:sz="6" w:space="0"/>
                    <w:right w:val="thickThinSmallGap" w:color="auto" w:sz="18" w:space="0"/>
                  </w:tcBorders>
                  <w:vAlign w:val="center"/>
                </w:tcPr>
                <w:p>
                  <w:pPr>
                    <w:widowControl/>
                    <w:spacing w:line="360" w:lineRule="exact"/>
                    <w:jc w:val="center"/>
                    <w:rPr>
                      <w:rFonts w:hint="eastAsia" w:ascii="宋体" w:hAnsi="宋体" w:eastAsia="宋体" w:cs="宋体"/>
                      <w:bCs/>
                      <w:color w:val="auto"/>
                      <w:kern w:val="0"/>
                      <w:sz w:val="24"/>
                      <w:szCs w:val="24"/>
                      <w:highlight w:val="none"/>
                      <w:lang w:val="en-US" w:eastAsia="zh-CN" w:bidi="en-US"/>
                    </w:rPr>
                  </w:pPr>
                  <w:r>
                    <w:rPr>
                      <w:rFonts w:hint="eastAsia" w:ascii="宋体" w:hAnsi="宋体" w:cs="宋体"/>
                      <w:bCs/>
                      <w:color w:val="auto"/>
                      <w:kern w:val="0"/>
                      <w:sz w:val="24"/>
                      <w:highlight w:val="none"/>
                      <w:lang w:val="en-US" w:eastAsia="zh-CN" w:bidi="en-US"/>
                    </w:rPr>
                    <w:t>6</w:t>
                  </w:r>
                  <w:r>
                    <w:rPr>
                      <w:rFonts w:hint="eastAsia" w:ascii="宋体" w:hAnsi="宋体" w:eastAsia="宋体" w:cs="宋体"/>
                      <w:bCs/>
                      <w:color w:val="auto"/>
                      <w:kern w:val="0"/>
                      <w:sz w:val="24"/>
                      <w:highlight w:val="none"/>
                      <w:lang w:bidi="en-US"/>
                    </w:rPr>
                    <w:t>分</w:t>
                  </w:r>
                </w:p>
              </w:tc>
            </w:tr>
            <w:tr>
              <w:tblPrEx>
                <w:tblBorders>
                  <w:top w:val="thinThickSmallGap" w:color="auto" w:sz="18" w:space="0"/>
                  <w:left w:val="thinThickSmallGap" w:color="auto" w:sz="18" w:space="0"/>
                  <w:bottom w:val="thickThinSmallGap" w:color="auto" w:sz="18" w:space="0"/>
                  <w:right w:val="thickThinSmallGap" w:color="auto" w:sz="18" w:space="0"/>
                  <w:insideH w:val="single" w:color="auto" w:sz="6" w:space="0"/>
                  <w:insideV w:val="single" w:color="auto" w:sz="6" w:space="0"/>
                </w:tblBorders>
              </w:tblPrEx>
              <w:trPr>
                <w:trHeight w:val="510" w:hRule="atLeast"/>
                <w:jc w:val="center"/>
              </w:trPr>
              <w:tc>
                <w:tcPr>
                  <w:tcW w:w="9195" w:type="dxa"/>
                  <w:gridSpan w:val="3"/>
                  <w:tcBorders>
                    <w:top w:val="single" w:color="auto" w:sz="6" w:space="0"/>
                    <w:left w:val="thinThickSmallGap" w:color="auto" w:sz="18" w:space="0"/>
                    <w:bottom w:val="thickThinSmallGap" w:color="auto" w:sz="18" w:space="0"/>
                    <w:right w:val="thickThinSmallGap" w:color="auto" w:sz="18" w:space="0"/>
                  </w:tcBorders>
                  <w:vAlign w:val="center"/>
                </w:tcPr>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bCs/>
                      <w:color w:val="auto"/>
                      <w:sz w:val="24"/>
                      <w:highlight w:val="none"/>
                    </w:rPr>
                    <w:t>各有效投标人的最后综合得分＝商务因素＋价格因素</w:t>
                  </w:r>
                </w:p>
              </w:tc>
            </w:tr>
          </w:tbl>
          <w:p>
            <w:pPr>
              <w:pStyle w:val="10"/>
              <w:snapToGrid w:val="0"/>
              <w:spacing w:line="440" w:lineRule="exact"/>
              <w:ind w:left="0" w:leftChars="0" w:firstLine="0" w:firstLineChars="0"/>
              <w:rPr>
                <w:rFonts w:ascii="宋体" w:hAnsi="宋体"/>
                <w:sz w:val="24"/>
                <w:lang w:eastAsia="zh-CN"/>
              </w:rPr>
            </w:pPr>
            <w:r>
              <w:rPr>
                <w:rFonts w:hint="eastAsia" w:ascii="宋体" w:hAnsi="宋体"/>
                <w:sz w:val="24"/>
                <w:lang w:eastAsia="zh-CN"/>
              </w:rPr>
              <w:t>说明：（</w:t>
            </w:r>
            <w:r>
              <w:rPr>
                <w:rFonts w:ascii="宋体" w:hAnsi="宋体"/>
                <w:sz w:val="24"/>
                <w:lang w:eastAsia="zh-CN"/>
              </w:rPr>
              <w:t>1）计算各初审合格投标人的商务汇总得分时取所有评委评分的算术平均值；</w:t>
            </w:r>
          </w:p>
          <w:p>
            <w:pPr>
              <w:pStyle w:val="10"/>
              <w:snapToGrid w:val="0"/>
              <w:spacing w:line="440" w:lineRule="exact"/>
              <w:rPr>
                <w:rFonts w:ascii="宋体" w:hAnsi="宋体"/>
                <w:sz w:val="24"/>
                <w:lang w:eastAsia="zh-CN"/>
              </w:rPr>
            </w:pPr>
            <w:r>
              <w:rPr>
                <w:rFonts w:hint="eastAsia" w:ascii="宋体" w:hAnsi="宋体"/>
                <w:sz w:val="24"/>
                <w:lang w:eastAsia="zh-CN"/>
              </w:rPr>
              <w:t>（</w:t>
            </w:r>
            <w:r>
              <w:rPr>
                <w:rFonts w:ascii="宋体" w:hAnsi="宋体"/>
                <w:sz w:val="24"/>
                <w:lang w:eastAsia="zh-CN"/>
              </w:rPr>
              <w:t>2）计算</w:t>
            </w:r>
            <w:r>
              <w:rPr>
                <w:rFonts w:hint="eastAsia" w:ascii="宋体" w:hAnsi="宋体"/>
                <w:sz w:val="24"/>
                <w:lang w:eastAsia="zh-CN"/>
              </w:rPr>
              <w:t>商务汇总</w:t>
            </w:r>
            <w:r>
              <w:rPr>
                <w:rFonts w:ascii="宋体" w:hAnsi="宋体"/>
                <w:sz w:val="24"/>
                <w:lang w:eastAsia="zh-CN"/>
              </w:rPr>
              <w:t>得分</w:t>
            </w:r>
            <w:r>
              <w:rPr>
                <w:rFonts w:hint="eastAsia" w:ascii="宋体" w:hAnsi="宋体"/>
                <w:sz w:val="24"/>
                <w:lang w:eastAsia="zh-CN"/>
              </w:rPr>
              <w:t>及价格分时，经四舍五入后保留三位小数，计算投标人综合得分时，经四舍五入后保留两位小数。</w:t>
            </w:r>
          </w:p>
          <w:p>
            <w:pPr>
              <w:pStyle w:val="10"/>
              <w:snapToGrid w:val="0"/>
              <w:spacing w:line="440" w:lineRule="exact"/>
              <w:ind w:firstLine="235" w:firstLineChars="98"/>
              <w:rPr>
                <w:rFonts w:ascii="宋体" w:hAnsi="宋体"/>
                <w:sz w:val="24"/>
                <w:szCs w:val="24"/>
                <w:lang w:eastAsia="zh-CN"/>
              </w:rPr>
            </w:pPr>
            <w:r>
              <w:rPr>
                <w:rFonts w:ascii="宋体" w:hAnsi="宋体"/>
                <w:sz w:val="24"/>
                <w:szCs w:val="24"/>
                <w:lang w:eastAsia="zh-CN"/>
              </w:rPr>
              <w:t>3.排名及排名规则：评标委员会根据以下原则对初审合格的投标人进行排名：</w:t>
            </w:r>
          </w:p>
          <w:p>
            <w:pPr>
              <w:spacing w:line="440" w:lineRule="exact"/>
              <w:ind w:firstLine="480" w:firstLineChars="200"/>
              <w:rPr>
                <w:rFonts w:ascii="宋体" w:hAnsi="宋体"/>
                <w:sz w:val="24"/>
              </w:rPr>
            </w:pPr>
            <w:r>
              <w:rPr>
                <w:rFonts w:hint="eastAsia" w:ascii="宋体" w:hAnsi="宋体"/>
                <w:sz w:val="24"/>
              </w:rPr>
              <w:t>（</w:t>
            </w:r>
            <w:r>
              <w:rPr>
                <w:rFonts w:ascii="宋体" w:hAnsi="宋体"/>
                <w:sz w:val="24"/>
              </w:rPr>
              <w:t>1）综合得分高者排名在前，即：综合得分最高者排名第一，综合得分次高者排名第二，以此类推。</w:t>
            </w:r>
          </w:p>
          <w:p>
            <w:pPr>
              <w:pStyle w:val="10"/>
              <w:snapToGrid w:val="0"/>
              <w:spacing w:line="440" w:lineRule="exact"/>
              <w:ind w:firstLine="235" w:firstLineChars="98"/>
              <w:rPr>
                <w:rFonts w:ascii="宋体" w:hAnsi="宋体"/>
                <w:sz w:val="24"/>
                <w:lang w:eastAsia="zh-CN"/>
              </w:rPr>
            </w:pPr>
            <w:r>
              <w:rPr>
                <w:rFonts w:hint="eastAsia" w:ascii="宋体" w:hAnsi="宋体"/>
                <w:sz w:val="24"/>
                <w:lang w:eastAsia="zh-CN"/>
              </w:rPr>
              <w:t>（</w:t>
            </w:r>
            <w:r>
              <w:rPr>
                <w:rFonts w:ascii="宋体" w:hAnsi="宋体"/>
                <w:sz w:val="24"/>
                <w:lang w:eastAsia="zh-CN"/>
              </w:rPr>
              <w:t>2）综合得分相同时，价格分得分高者（即F1</w:t>
            </w:r>
            <w:r>
              <w:rPr>
                <w:rFonts w:hint="eastAsia" w:ascii="宋体" w:hAnsi="宋体"/>
                <w:sz w:val="24"/>
                <w:lang w:eastAsia="zh-CN"/>
              </w:rPr>
              <w:t>得分高者）排名在前；</w:t>
            </w:r>
            <w:r>
              <w:rPr>
                <w:rFonts w:ascii="宋体" w:hAnsi="宋体"/>
                <w:sz w:val="24"/>
                <w:lang w:eastAsia="zh-CN"/>
              </w:rPr>
              <w:t xml:space="preserve"> </w:t>
            </w:r>
          </w:p>
          <w:p>
            <w:pPr>
              <w:pStyle w:val="10"/>
              <w:snapToGrid w:val="0"/>
              <w:spacing w:line="440" w:lineRule="exact"/>
              <w:ind w:firstLine="235" w:firstLineChars="98"/>
              <w:rPr>
                <w:rFonts w:ascii="宋体" w:hAnsi="宋体"/>
                <w:sz w:val="24"/>
                <w:lang w:eastAsia="zh-CN"/>
              </w:rPr>
            </w:pPr>
            <w:r>
              <w:rPr>
                <w:rFonts w:hint="eastAsia" w:ascii="宋体" w:hAnsi="宋体"/>
                <w:sz w:val="24"/>
                <w:lang w:eastAsia="zh-CN"/>
              </w:rPr>
              <w:t>（</w:t>
            </w:r>
            <w:r>
              <w:rPr>
                <w:rFonts w:ascii="宋体" w:hAnsi="宋体"/>
                <w:sz w:val="24"/>
                <w:lang w:eastAsia="zh-CN"/>
              </w:rPr>
              <w:t>3）以上办法都不能确定排名时，评标委员会根据有利于项目实施的原则确定排名。</w:t>
            </w:r>
          </w:p>
          <w:p>
            <w:pPr>
              <w:pStyle w:val="10"/>
              <w:snapToGrid w:val="0"/>
              <w:spacing w:before="240" w:line="360" w:lineRule="auto"/>
              <w:ind w:firstLine="236" w:firstLineChars="98"/>
              <w:rPr>
                <w:rFonts w:ascii="宋体" w:hAnsi="宋体"/>
                <w:sz w:val="24"/>
                <w:szCs w:val="24"/>
                <w:lang w:eastAsia="zh-CN"/>
              </w:rPr>
            </w:pPr>
            <w:r>
              <w:rPr>
                <w:rFonts w:hint="eastAsia" w:ascii="宋体" w:hAnsi="宋体"/>
                <w:b/>
                <w:sz w:val="24"/>
                <w:szCs w:val="24"/>
                <w:lang w:eastAsia="zh-CN"/>
              </w:rPr>
              <w:t>（二）推荐中标候选人：</w:t>
            </w:r>
            <w:r>
              <w:rPr>
                <w:rFonts w:hint="eastAsia" w:ascii="宋体" w:hAnsi="宋体"/>
                <w:sz w:val="24"/>
                <w:szCs w:val="24"/>
                <w:lang w:eastAsia="zh-CN"/>
              </w:rPr>
              <w:t>评标委员会根据排名情况推荐</w:t>
            </w:r>
            <w:r>
              <w:rPr>
                <w:rFonts w:ascii="宋体" w:hAnsi="宋体"/>
                <w:sz w:val="24"/>
                <w:szCs w:val="24"/>
                <w:lang w:eastAsia="zh-CN"/>
              </w:rPr>
              <w:t>1～3名中标候选人，推荐排名第一的投标人为第一中标候选人，以此类推。</w:t>
            </w:r>
          </w:p>
          <w:p>
            <w:pPr>
              <w:pStyle w:val="10"/>
              <w:snapToGrid w:val="0"/>
              <w:spacing w:before="60" w:beforeLines="25" w:after="60" w:afterLines="25" w:line="312" w:lineRule="auto"/>
              <w:ind w:firstLine="236" w:firstLineChars="98"/>
              <w:rPr>
                <w:rFonts w:ascii="宋体" w:hAnsi="宋体"/>
                <w:color w:val="auto"/>
                <w:sz w:val="24"/>
              </w:rPr>
            </w:pPr>
            <w:r>
              <w:rPr>
                <w:rFonts w:hint="eastAsia" w:ascii="宋体" w:hAnsi="宋体"/>
                <w:b/>
                <w:sz w:val="24"/>
                <w:szCs w:val="24"/>
                <w:lang w:eastAsia="zh-CN"/>
              </w:rPr>
              <w:t>（三）</w:t>
            </w:r>
            <w:r>
              <w:rPr>
                <w:rFonts w:hint="eastAsia" w:ascii="宋体" w:hAnsi="宋体"/>
                <w:b/>
                <w:spacing w:val="-2"/>
                <w:sz w:val="24"/>
                <w:lang w:eastAsia="zh-CN"/>
              </w:rPr>
              <w:t>投标截止时间结束后参加投标的投标人不足</w:t>
            </w:r>
            <w:r>
              <w:rPr>
                <w:rFonts w:ascii="宋体" w:hAnsi="宋体"/>
                <w:b/>
                <w:spacing w:val="-2"/>
                <w:sz w:val="24"/>
                <w:lang w:eastAsia="zh-CN"/>
              </w:rPr>
              <w:t>3家的，</w:t>
            </w:r>
            <w:r>
              <w:rPr>
                <w:rFonts w:hint="eastAsia" w:ascii="宋体" w:hAnsi="宋体"/>
                <w:b/>
                <w:sz w:val="24"/>
                <w:lang w:eastAsia="zh-CN"/>
              </w:rPr>
              <w:t>本项目招标失败</w:t>
            </w:r>
            <w:r>
              <w:rPr>
                <w:rFonts w:hint="eastAsia" w:ascii="宋体" w:hAnsi="宋体"/>
                <w:b/>
                <w:spacing w:val="-2"/>
                <w:sz w:val="24"/>
                <w:lang w:eastAsia="zh-CN"/>
              </w:rPr>
              <w:t>。</w:t>
            </w:r>
          </w:p>
        </w:tc>
      </w:tr>
      <w:tr>
        <w:tblPrEx>
          <w:tblBorders>
            <w:top w:val="thinThickSmallGap" w:color="auto" w:sz="12" w:space="0"/>
            <w:left w:val="thinThickSmallGap" w:color="auto" w:sz="12" w:space="0"/>
            <w:bottom w:val="thickThinSmallGap" w:color="auto" w:sz="12" w:space="0"/>
            <w:right w:val="thickThinSmallGap"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9483" w:type="dxa"/>
            <w:tcBorders>
              <w:top w:val="single" w:color="auto" w:sz="6" w:space="0"/>
              <w:left w:val="thinThickSmallGap" w:color="auto" w:sz="18" w:space="0"/>
              <w:bottom w:val="thinThickSmallGap" w:color="auto" w:sz="18" w:space="0"/>
              <w:right w:val="thinThickSmallGap" w:color="auto" w:sz="18" w:space="0"/>
            </w:tcBorders>
          </w:tcPr>
          <w:p>
            <w:pPr>
              <w:widowControl/>
              <w:snapToGrid w:val="0"/>
              <w:spacing w:line="360" w:lineRule="auto"/>
              <w:jc w:val="left"/>
              <w:rPr>
                <w:rFonts w:ascii="宋体" w:hAnsi="宋体"/>
                <w:color w:val="auto"/>
                <w:kern w:val="0"/>
                <w:sz w:val="24"/>
              </w:rPr>
            </w:pPr>
            <w:r>
              <w:rPr>
                <w:rFonts w:hint="eastAsia" w:ascii="宋体" w:hAnsi="宋体"/>
                <w:color w:val="auto"/>
                <w:kern w:val="0"/>
                <w:sz w:val="24"/>
              </w:rPr>
              <w:t>三、定标原则：</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1、评标结束后，招标代理机构在2个工作日内将评标报告送招标人。</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2、招标人收到评标报告之日起3日内，招标代理机构在招标公告发布媒体公示中标候选人，公示期为3日。投标人或者其他利害关系人对依法必须进行招标的项目的评标结果有异议的，应当在中标候选人公示期间提出，逾期的将不予受理。</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3、公示期结束，招标人根据评标委员会提出的书面评标报告和推荐的中标候选人，确定中标人，并向中标人发出中标通知书。</w:t>
            </w:r>
          </w:p>
          <w:p>
            <w:pPr>
              <w:tabs>
                <w:tab w:val="left" w:pos="1080"/>
              </w:tabs>
              <w:spacing w:line="360" w:lineRule="auto"/>
              <w:ind w:firstLine="480" w:firstLineChars="200"/>
              <w:rPr>
                <w:rFonts w:ascii="宋体" w:hAnsi="宋体"/>
                <w:color w:val="auto"/>
                <w:sz w:val="24"/>
              </w:rPr>
            </w:pPr>
            <w:r>
              <w:rPr>
                <w:rFonts w:hint="eastAsia" w:ascii="宋体" w:hAnsi="宋体"/>
                <w:color w:val="auto"/>
                <w:sz w:val="24"/>
              </w:rPr>
              <w:t>4、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tc>
      </w:tr>
    </w:tbl>
    <w:p>
      <w:pPr>
        <w:pStyle w:val="4"/>
        <w:pageBreakBefore/>
        <w:spacing w:line="360" w:lineRule="auto"/>
        <w:jc w:val="center"/>
        <w:rPr>
          <w:rFonts w:ascii="宋体" w:hAnsi="宋体" w:eastAsia="宋体"/>
          <w:color w:val="auto"/>
        </w:rPr>
      </w:pPr>
      <w:bookmarkStart w:id="26" w:name="_Toc2011"/>
      <w:bookmarkStart w:id="27" w:name="_Toc398284539"/>
      <w:bookmarkStart w:id="28" w:name="_Toc10193173"/>
      <w:bookmarkStart w:id="29" w:name="_Toc398504595"/>
      <w:bookmarkStart w:id="30" w:name="_Toc398504623"/>
      <w:bookmarkStart w:id="31" w:name="_Toc398284567"/>
      <w:r>
        <w:rPr>
          <w:rFonts w:hint="eastAsia" w:ascii="宋体" w:hAnsi="宋体" w:eastAsia="宋体"/>
          <w:color w:val="auto"/>
        </w:rPr>
        <w:t>第一节  说  明</w:t>
      </w:r>
      <w:bookmarkEnd w:id="26"/>
      <w:bookmarkEnd w:id="27"/>
      <w:bookmarkEnd w:id="28"/>
      <w:bookmarkEnd w:id="29"/>
    </w:p>
    <w:p>
      <w:pPr>
        <w:pStyle w:val="5"/>
        <w:numPr>
          <w:ilvl w:val="0"/>
          <w:numId w:val="6"/>
        </w:numPr>
        <w:spacing w:line="360" w:lineRule="auto"/>
        <w:rPr>
          <w:rFonts w:ascii="宋体" w:hAnsi="宋体" w:eastAsia="宋体"/>
          <w:color w:val="auto"/>
          <w:szCs w:val="21"/>
        </w:rPr>
      </w:pPr>
      <w:bookmarkStart w:id="32" w:name="_Toc398284540"/>
      <w:bookmarkStart w:id="33" w:name="_Toc10193174"/>
      <w:bookmarkStart w:id="34" w:name="_Toc27422"/>
      <w:bookmarkStart w:id="35" w:name="_Toc398504596"/>
      <w:r>
        <w:rPr>
          <w:rFonts w:ascii="宋体" w:hAnsi="宋体" w:eastAsia="宋体"/>
          <w:color w:val="auto"/>
          <w:szCs w:val="21"/>
        </w:rPr>
        <w:t>适用范围</w:t>
      </w:r>
      <w:bookmarkEnd w:id="32"/>
      <w:bookmarkEnd w:id="33"/>
      <w:bookmarkEnd w:id="34"/>
      <w:bookmarkEnd w:id="35"/>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本招标文件仅适用于投标邀请中所叙述项目的货物及服务采购。</w:t>
      </w:r>
    </w:p>
    <w:p>
      <w:pPr>
        <w:pStyle w:val="5"/>
        <w:numPr>
          <w:ilvl w:val="0"/>
          <w:numId w:val="6"/>
        </w:numPr>
        <w:spacing w:line="360" w:lineRule="auto"/>
        <w:rPr>
          <w:rFonts w:ascii="宋体" w:hAnsi="宋体" w:eastAsia="宋体"/>
          <w:color w:val="auto"/>
          <w:szCs w:val="21"/>
        </w:rPr>
      </w:pPr>
      <w:bookmarkStart w:id="36" w:name="_Toc10193175"/>
      <w:bookmarkStart w:id="37" w:name="_Toc398504597"/>
      <w:bookmarkStart w:id="38" w:name="_Toc9413"/>
      <w:bookmarkStart w:id="39" w:name="_Toc398284541"/>
      <w:r>
        <w:rPr>
          <w:rFonts w:ascii="宋体" w:hAnsi="宋体" w:eastAsia="宋体"/>
          <w:color w:val="auto"/>
          <w:szCs w:val="21"/>
        </w:rPr>
        <w:t>定义</w:t>
      </w:r>
      <w:bookmarkEnd w:id="36"/>
      <w:bookmarkEnd w:id="37"/>
      <w:bookmarkEnd w:id="38"/>
      <w:bookmarkEnd w:id="39"/>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w:t>
      </w:r>
      <w:r>
        <w:rPr>
          <w:rFonts w:hint="eastAsia" w:ascii="宋体" w:hAnsi="宋体"/>
          <w:color w:val="auto"/>
          <w:sz w:val="24"/>
        </w:rPr>
        <w:t>招标人</w:t>
      </w:r>
      <w:r>
        <w:rPr>
          <w:rFonts w:ascii="宋体" w:hAnsi="宋体"/>
          <w:color w:val="auto"/>
          <w:sz w:val="24"/>
        </w:rPr>
        <w:t>”系指</w:t>
      </w:r>
      <w:r>
        <w:rPr>
          <w:rFonts w:hint="eastAsia" w:ascii="宋体" w:hAnsi="宋体"/>
          <w:color w:val="auto"/>
          <w:sz w:val="24"/>
        </w:rPr>
        <w:t>提出本招标项目、进行招标的</w:t>
      </w:r>
      <w:r>
        <w:rPr>
          <w:rFonts w:ascii="宋体" w:hAnsi="宋体"/>
          <w:color w:val="auto"/>
          <w:sz w:val="24"/>
        </w:rPr>
        <w:t>的业主方</w:t>
      </w:r>
      <w:r>
        <w:rPr>
          <w:rFonts w:hint="eastAsia" w:ascii="宋体" w:hAnsi="宋体"/>
          <w:color w:val="auto"/>
          <w:sz w:val="24"/>
        </w:rPr>
        <w:t>或其授权委托代理方</w:t>
      </w:r>
      <w:r>
        <w:rPr>
          <w:rFonts w:ascii="宋体" w:hAnsi="宋体"/>
          <w:color w:val="auto"/>
          <w:sz w:val="24"/>
        </w:rPr>
        <w:t>。</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w:t>
      </w:r>
      <w:r>
        <w:rPr>
          <w:rFonts w:hint="eastAsia" w:ascii="宋体" w:hAnsi="宋体"/>
          <w:color w:val="auto"/>
          <w:sz w:val="24"/>
        </w:rPr>
        <w:t>招标</w:t>
      </w:r>
      <w:r>
        <w:rPr>
          <w:rFonts w:ascii="宋体" w:hAnsi="宋体"/>
          <w:color w:val="auto"/>
          <w:sz w:val="24"/>
        </w:rPr>
        <w:t>代理机构”系指</w:t>
      </w:r>
      <w:r>
        <w:rPr>
          <w:rFonts w:hint="eastAsia" w:ascii="宋体" w:hAnsi="宋体"/>
          <w:color w:val="auto"/>
          <w:sz w:val="24"/>
        </w:rPr>
        <w:t>受招标人委托代理</w:t>
      </w:r>
      <w:r>
        <w:rPr>
          <w:rFonts w:ascii="宋体" w:hAnsi="宋体"/>
          <w:color w:val="auto"/>
          <w:sz w:val="24"/>
        </w:rPr>
        <w:t>本次招标采购项目活动</w:t>
      </w:r>
      <w:r>
        <w:rPr>
          <w:rFonts w:hint="eastAsia" w:ascii="宋体" w:hAnsi="宋体"/>
          <w:color w:val="auto"/>
          <w:sz w:val="24"/>
        </w:rPr>
        <w:t>的</w:t>
      </w:r>
      <w:r>
        <w:rPr>
          <w:rFonts w:ascii="宋体" w:hAnsi="宋体"/>
          <w:color w:val="auto"/>
          <w:sz w:val="24"/>
        </w:rPr>
        <w:t>组织方。</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“投标人”系指</w:t>
      </w:r>
      <w:r>
        <w:rPr>
          <w:rFonts w:hint="eastAsia" w:ascii="宋体" w:hAnsi="宋体"/>
          <w:color w:val="auto"/>
          <w:sz w:val="24"/>
        </w:rPr>
        <w:t>响应本项目招标、参加投标竞争的法人或者其他组织。</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“货物”系指</w:t>
      </w:r>
      <w:r>
        <w:rPr>
          <w:rFonts w:hint="eastAsia" w:ascii="宋体" w:hAnsi="宋体"/>
          <w:color w:val="auto"/>
          <w:sz w:val="24"/>
        </w:rPr>
        <w:t>各种形态和种类的物品，包括原材料、燃料、设备、产品等。</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“服务”系指</w:t>
      </w:r>
      <w:r>
        <w:rPr>
          <w:rFonts w:hint="eastAsia" w:ascii="宋体" w:hAnsi="宋体"/>
          <w:color w:val="auto"/>
          <w:sz w:val="24"/>
        </w:rPr>
        <w:t>本招标项目涉及咨询以及其他类似的义务。</w:t>
      </w:r>
    </w:p>
    <w:p>
      <w:pPr>
        <w:pStyle w:val="5"/>
        <w:numPr>
          <w:ilvl w:val="0"/>
          <w:numId w:val="6"/>
        </w:numPr>
        <w:spacing w:line="360" w:lineRule="auto"/>
        <w:rPr>
          <w:rFonts w:ascii="宋体" w:hAnsi="宋体" w:eastAsia="宋体"/>
          <w:color w:val="auto"/>
          <w:szCs w:val="21"/>
        </w:rPr>
      </w:pPr>
      <w:bookmarkStart w:id="40" w:name="_Toc10193176"/>
      <w:bookmarkStart w:id="41" w:name="_Toc31537"/>
      <w:bookmarkStart w:id="42" w:name="_Toc398284542"/>
      <w:bookmarkStart w:id="43" w:name="_Toc398504598"/>
      <w:bookmarkStart w:id="44" w:name="_Toc313106260"/>
      <w:r>
        <w:rPr>
          <w:rFonts w:ascii="宋体" w:hAnsi="宋体" w:eastAsia="宋体"/>
          <w:color w:val="auto"/>
          <w:szCs w:val="21"/>
        </w:rPr>
        <w:t>合格的投标人</w:t>
      </w:r>
      <w:bookmarkEnd w:id="40"/>
      <w:bookmarkEnd w:id="41"/>
      <w:bookmarkEnd w:id="42"/>
      <w:bookmarkEnd w:id="43"/>
      <w:bookmarkEnd w:id="44"/>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凡有能力提供本招标文件所述货物及服务的，符合本招标文件规定资格要求的境内</w:t>
      </w:r>
      <w:r>
        <w:rPr>
          <w:rFonts w:hint="eastAsia" w:ascii="宋体" w:hAnsi="宋体"/>
          <w:color w:val="auto"/>
          <w:sz w:val="24"/>
          <w:lang w:eastAsia="zh-CN"/>
        </w:rPr>
        <w:t>投标人</w:t>
      </w:r>
      <w:r>
        <w:rPr>
          <w:rFonts w:ascii="宋体" w:hAnsi="宋体"/>
          <w:color w:val="auto"/>
          <w:sz w:val="24"/>
        </w:rPr>
        <w:t>均可能成为合格的投标人。</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投标人应遵守中国的有关法律、法规和规章的规定。</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与招标人存在利害关系可能影响招标公正性的法人、其他组织或者个人，不得参加投标。单位负责人为同一人或者存在控股、管理关系的不同单位，不得参加同一标段投标或者未划分标段的同一招标项目投标。违反本条规定的，相关投标均无效。</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投标人发生合并、分立、破产等重大变化的，应当及时书面告知招标人。投标人不再具备招标文件规定的资格条件或者其投标影响招标公正性的，其投标无效。</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不得以他人名义投标或者违反规定允许他人以自己名义投标。以他人名义投标，指投标人挂靠其他单位，或者从其他单位通过转让、租借的方式获取资质证书，或者在其编制的投标文件上加盖、签署其他单位及其法定代表人的印章、姓名等行为。</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两个以上法人或者其他组织可以组成一个联合体，以一个投标人的身份共同投标。（如本项目不接受联合体投标除外）</w:t>
      </w:r>
      <w:r>
        <w:rPr>
          <w:rFonts w:ascii="宋体" w:hAnsi="宋体"/>
          <w:color w:val="auto"/>
          <w:sz w:val="24"/>
        </w:rPr>
        <w:t>。</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联合体各方均应当具备承担招标项目的相应能力；国家有关规定或者招标文件对投标人资格条件有规定的，联合体各方均应当具备规定的相应资格条件。</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联合体各方应按招标文件提供的格式签订联合体协议书，明确联合体牵头人和各方权利义务，并承诺就中标项目向招标人承担连带责任；</w:t>
      </w:r>
      <w:r>
        <w:rPr>
          <w:rFonts w:hint="eastAsia" w:ascii="宋体" w:hAnsi="宋体"/>
          <w:color w:val="auto"/>
          <w:sz w:val="24"/>
        </w:rPr>
        <w:t>共同投标协议连同投标文件一并提交招标人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由同一专业的单位组成的联合体，按照资质等级较低的单位确定资质等级；</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联合体各方不得再以自己名义单独或参加其他联合体在本招标项目中投标，否则各相关投标均无效。</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投标代理人在同一个项目中只能接受一个投标人的委托参加投标。</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投标人存在下列情形之一的，将被认定为串通投标行为并作无效投标处理：</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投标人之间协商投标报价等投标文件的实质性内容；</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投标人之间约定中标人；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投标人之间约定部分投标人放弃投标或者中标；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属于同一集团、协会、商会等组织成员的投标人按照该组织要求协同投标；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投标人之间为谋取中标或者排斥特定投标人而采取的其他联合行动；</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不同投标人的投标文件由同一单位或者个人编制；</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不同投标人委托同一单位或者个人办理投标事宜；</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不同投标人的投标文件载明的项目管理成员为同一人；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不同投标人的投标文件异常一致或者投标报价呈规律性差异；</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不同投标人的投标文件相互混装；</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不同投标人的投标保证金从同一单位或者个人的账户转出；</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有关法律、法规或规章规定的其他串通投标行为。</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投标人不得存在下列情形之一</w:t>
      </w:r>
      <w:r>
        <w:rPr>
          <w:rFonts w:hint="eastAsia" w:ascii="宋体" w:hAnsi="宋体"/>
          <w:color w:val="auto"/>
          <w:sz w:val="24"/>
        </w:rPr>
        <w:t>，</w:t>
      </w:r>
      <w:r>
        <w:rPr>
          <w:rFonts w:ascii="宋体" w:hAnsi="宋体"/>
          <w:color w:val="auto"/>
          <w:sz w:val="24"/>
        </w:rPr>
        <w:t>否则为无效投标：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与本招标项目的其他投标人为同一个单位负责人；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与本招标项目的其他投标人存在控股、管理关系；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与本招标项目其他投标人代理同一个制造商同一品牌同一型号的设备投标；</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为本招标项目提供过设计、编制技术规范和其他文件的咨询服务；</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为本工程项目的相关监理人，或者与本工程项目的相关监理人存在隶属关系或者其他利害关系；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为本招标项目的代建人；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与本招标项目的监理人或代建人或招标代理机构同为一个法定代表人；</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与本招标项目的监理人或代建人或招标代理机构存在控股或参股关系；</w:t>
      </w:r>
    </w:p>
    <w:p>
      <w:pPr>
        <w:numPr>
          <w:ilvl w:val="2"/>
          <w:numId w:val="6"/>
        </w:numPr>
        <w:tabs>
          <w:tab w:val="left" w:pos="964"/>
          <w:tab w:val="clear" w:pos="1533"/>
        </w:tabs>
        <w:spacing w:line="360" w:lineRule="auto"/>
        <w:ind w:left="0" w:firstLine="480" w:firstLineChars="200"/>
        <w:rPr>
          <w:rFonts w:ascii="宋体" w:hAnsi="宋体"/>
          <w:color w:val="auto"/>
          <w:sz w:val="24"/>
        </w:rPr>
      </w:pPr>
      <w:r>
        <w:rPr>
          <w:rFonts w:ascii="宋体" w:hAnsi="宋体"/>
          <w:color w:val="auto"/>
          <w:sz w:val="24"/>
        </w:rPr>
        <w:t>被依法暂停或者取消投标资格；</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被责令停产停业、暂扣或者吊销许可证、暂扣或者吊销执照；</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进入清算程序，或被宣告破产，或其他丧失履约能力的情形；</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被工商行政管理机关在全国企业信用信息公示系统中列入严重违法失信企业名单；</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被最高人民法院在“信用中国”网站（www.creditchina.gov.cn）或各级信用信息共享平台中列入失信被执行人名单；</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法律法规或投标人须知前附表规定的其他情形。</w:t>
      </w:r>
    </w:p>
    <w:p>
      <w:pPr>
        <w:pStyle w:val="5"/>
        <w:numPr>
          <w:ilvl w:val="0"/>
          <w:numId w:val="6"/>
        </w:numPr>
        <w:spacing w:line="360" w:lineRule="auto"/>
        <w:rPr>
          <w:rFonts w:ascii="宋体" w:hAnsi="宋体" w:eastAsia="宋体"/>
          <w:color w:val="auto"/>
          <w:szCs w:val="21"/>
        </w:rPr>
      </w:pPr>
      <w:bookmarkStart w:id="45" w:name="_Toc398284543"/>
      <w:bookmarkStart w:id="46" w:name="_Toc10193177"/>
      <w:bookmarkStart w:id="47" w:name="_Toc398504599"/>
      <w:bookmarkStart w:id="48" w:name="_Toc9402"/>
      <w:r>
        <w:rPr>
          <w:rFonts w:ascii="宋体" w:hAnsi="宋体" w:eastAsia="宋体"/>
          <w:color w:val="auto"/>
          <w:szCs w:val="21"/>
        </w:rPr>
        <w:t>投标费用</w:t>
      </w:r>
      <w:bookmarkEnd w:id="45"/>
      <w:bookmarkEnd w:id="46"/>
      <w:bookmarkEnd w:id="47"/>
      <w:bookmarkEnd w:id="48"/>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投标人自行承担其参加投标所涉及的一切费用。</w:t>
      </w:r>
    </w:p>
    <w:p>
      <w:pPr>
        <w:pStyle w:val="4"/>
        <w:spacing w:line="360" w:lineRule="auto"/>
        <w:jc w:val="center"/>
        <w:rPr>
          <w:rFonts w:ascii="宋体" w:hAnsi="宋体" w:eastAsia="宋体"/>
          <w:color w:val="auto"/>
        </w:rPr>
      </w:pPr>
      <w:bookmarkStart w:id="49" w:name="_Toc10193178"/>
      <w:bookmarkStart w:id="50" w:name="_Toc15590"/>
      <w:bookmarkStart w:id="51" w:name="_Toc398504600"/>
      <w:bookmarkStart w:id="52" w:name="_Toc398284544"/>
      <w:r>
        <w:rPr>
          <w:rFonts w:hint="eastAsia" w:ascii="宋体" w:hAnsi="宋体" w:eastAsia="宋体"/>
          <w:color w:val="auto"/>
        </w:rPr>
        <w:t>第</w:t>
      </w:r>
      <w:r>
        <w:rPr>
          <w:rFonts w:ascii="宋体" w:hAnsi="宋体" w:eastAsia="宋体"/>
          <w:color w:val="auto"/>
        </w:rPr>
        <w:t>二</w:t>
      </w:r>
      <w:r>
        <w:rPr>
          <w:rFonts w:hint="eastAsia" w:ascii="宋体" w:hAnsi="宋体" w:eastAsia="宋体"/>
          <w:color w:val="auto"/>
        </w:rPr>
        <w:t xml:space="preserve">节  </w:t>
      </w:r>
      <w:r>
        <w:rPr>
          <w:rFonts w:ascii="宋体" w:hAnsi="宋体" w:eastAsia="宋体"/>
          <w:color w:val="auto"/>
        </w:rPr>
        <w:t>招标文件</w:t>
      </w:r>
      <w:bookmarkEnd w:id="49"/>
      <w:bookmarkEnd w:id="50"/>
      <w:bookmarkEnd w:id="51"/>
      <w:bookmarkEnd w:id="52"/>
    </w:p>
    <w:p>
      <w:pPr>
        <w:pStyle w:val="5"/>
        <w:numPr>
          <w:ilvl w:val="0"/>
          <w:numId w:val="6"/>
        </w:numPr>
        <w:spacing w:line="360" w:lineRule="auto"/>
        <w:rPr>
          <w:rFonts w:ascii="宋体" w:hAnsi="宋体" w:eastAsia="宋体"/>
          <w:color w:val="auto"/>
          <w:szCs w:val="21"/>
        </w:rPr>
      </w:pPr>
      <w:bookmarkStart w:id="53" w:name="_Toc9335"/>
      <w:bookmarkStart w:id="54" w:name="_Toc398504601"/>
      <w:bookmarkStart w:id="55" w:name="_Toc10193179"/>
      <w:bookmarkStart w:id="56" w:name="_Toc398284545"/>
      <w:r>
        <w:rPr>
          <w:rFonts w:ascii="宋体" w:hAnsi="宋体" w:eastAsia="宋体"/>
          <w:color w:val="auto"/>
          <w:szCs w:val="21"/>
        </w:rPr>
        <w:t>招标文件的组成</w:t>
      </w:r>
      <w:bookmarkEnd w:id="53"/>
      <w:bookmarkEnd w:id="54"/>
      <w:bookmarkEnd w:id="55"/>
      <w:bookmarkEnd w:id="56"/>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招标文件用以阐明所需货物及服务招标程序、内容和合同主要条款。招标文件由下述部分组成：</w:t>
      </w:r>
    </w:p>
    <w:p>
      <w:pPr>
        <w:pStyle w:val="10"/>
        <w:widowControl w:val="0"/>
        <w:numPr>
          <w:ilvl w:val="0"/>
          <w:numId w:val="7"/>
        </w:numPr>
        <w:snapToGrid w:val="0"/>
        <w:spacing w:line="360" w:lineRule="auto"/>
        <w:ind w:left="482" w:firstLine="0"/>
        <w:jc w:val="both"/>
        <w:rPr>
          <w:rFonts w:ascii="宋体" w:hAnsi="宋体"/>
          <w:color w:val="auto"/>
          <w:sz w:val="24"/>
          <w:lang w:eastAsia="zh-CN"/>
        </w:rPr>
      </w:pPr>
      <w:r>
        <w:rPr>
          <w:rFonts w:hint="eastAsia" w:ascii="宋体" w:hAnsi="宋体"/>
          <w:color w:val="auto"/>
          <w:sz w:val="24"/>
          <w:lang w:eastAsia="zh-CN"/>
        </w:rPr>
        <w:t>投标</w:t>
      </w:r>
      <w:r>
        <w:rPr>
          <w:rFonts w:ascii="宋体" w:hAnsi="宋体"/>
          <w:color w:val="auto"/>
          <w:sz w:val="24"/>
          <w:lang w:eastAsia="zh-CN"/>
        </w:rPr>
        <w:t>邀请</w:t>
      </w:r>
    </w:p>
    <w:p>
      <w:pPr>
        <w:pStyle w:val="10"/>
        <w:widowControl w:val="0"/>
        <w:numPr>
          <w:ilvl w:val="0"/>
          <w:numId w:val="7"/>
        </w:numPr>
        <w:snapToGrid w:val="0"/>
        <w:spacing w:line="360" w:lineRule="auto"/>
        <w:ind w:left="482" w:firstLine="0"/>
        <w:jc w:val="both"/>
        <w:rPr>
          <w:rFonts w:ascii="宋体" w:hAnsi="宋体"/>
          <w:color w:val="auto"/>
          <w:sz w:val="24"/>
        </w:rPr>
      </w:pPr>
      <w:r>
        <w:rPr>
          <w:rFonts w:ascii="宋体" w:hAnsi="宋体"/>
          <w:color w:val="auto"/>
          <w:sz w:val="24"/>
        </w:rPr>
        <w:t>投标人须知</w:t>
      </w:r>
    </w:p>
    <w:p>
      <w:pPr>
        <w:pStyle w:val="10"/>
        <w:widowControl w:val="0"/>
        <w:numPr>
          <w:ilvl w:val="0"/>
          <w:numId w:val="7"/>
        </w:numPr>
        <w:snapToGrid w:val="0"/>
        <w:spacing w:line="360" w:lineRule="auto"/>
        <w:jc w:val="both"/>
        <w:rPr>
          <w:rFonts w:ascii="宋体" w:hAnsi="宋体"/>
          <w:color w:val="auto"/>
          <w:sz w:val="24"/>
        </w:rPr>
      </w:pPr>
      <w:r>
        <w:rPr>
          <w:rFonts w:hint="eastAsia" w:ascii="宋体" w:hAnsi="宋体"/>
          <w:color w:val="auto"/>
          <w:sz w:val="24"/>
        </w:rPr>
        <w:t>招标内容及要求</w:t>
      </w:r>
    </w:p>
    <w:p>
      <w:pPr>
        <w:pStyle w:val="10"/>
        <w:widowControl w:val="0"/>
        <w:numPr>
          <w:ilvl w:val="0"/>
          <w:numId w:val="7"/>
        </w:numPr>
        <w:snapToGrid w:val="0"/>
        <w:spacing w:line="360" w:lineRule="auto"/>
        <w:ind w:left="482" w:firstLine="0"/>
        <w:jc w:val="both"/>
        <w:rPr>
          <w:rFonts w:ascii="宋体" w:hAnsi="宋体"/>
          <w:color w:val="auto"/>
          <w:sz w:val="24"/>
        </w:rPr>
      </w:pPr>
      <w:r>
        <w:rPr>
          <w:rFonts w:ascii="宋体" w:hAnsi="宋体"/>
          <w:color w:val="auto"/>
          <w:sz w:val="24"/>
        </w:rPr>
        <w:t>合同条款及格式</w:t>
      </w:r>
    </w:p>
    <w:p>
      <w:pPr>
        <w:pStyle w:val="10"/>
        <w:widowControl w:val="0"/>
        <w:numPr>
          <w:ilvl w:val="0"/>
          <w:numId w:val="7"/>
        </w:numPr>
        <w:snapToGrid w:val="0"/>
        <w:spacing w:line="360" w:lineRule="auto"/>
        <w:ind w:left="482" w:firstLine="0"/>
        <w:jc w:val="both"/>
        <w:rPr>
          <w:rFonts w:ascii="宋体" w:hAnsi="宋体"/>
          <w:color w:val="auto"/>
          <w:sz w:val="24"/>
        </w:rPr>
      </w:pPr>
      <w:r>
        <w:rPr>
          <w:rFonts w:hint="eastAsia" w:ascii="宋体" w:hAnsi="宋体"/>
          <w:color w:val="auto"/>
          <w:sz w:val="24"/>
        </w:rPr>
        <w:t>投标文件格式</w:t>
      </w:r>
    </w:p>
    <w:p>
      <w:pPr>
        <w:pStyle w:val="10"/>
        <w:widowControl w:val="0"/>
        <w:numPr>
          <w:ilvl w:val="0"/>
          <w:numId w:val="7"/>
        </w:numPr>
        <w:snapToGrid w:val="0"/>
        <w:spacing w:line="360" w:lineRule="auto"/>
        <w:ind w:left="482" w:firstLine="0"/>
        <w:jc w:val="both"/>
        <w:rPr>
          <w:rFonts w:ascii="宋体" w:hAnsi="宋体"/>
          <w:color w:val="auto"/>
          <w:sz w:val="24"/>
          <w:lang w:eastAsia="zh-CN"/>
        </w:rPr>
      </w:pPr>
      <w:r>
        <w:rPr>
          <w:rFonts w:hint="eastAsia" w:ascii="宋体" w:hAnsi="宋体"/>
          <w:color w:val="auto"/>
          <w:sz w:val="24"/>
          <w:lang w:eastAsia="zh-CN"/>
        </w:rPr>
        <w:t>附件（若有的话，详见招标文件第三章）</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投标人应仔细阅读和检查招标文件的全部内容。如发现缺页或附件不全，应及时向招标代理机构提出，以便补齐。</w:t>
      </w:r>
    </w:p>
    <w:p>
      <w:pPr>
        <w:pStyle w:val="5"/>
        <w:numPr>
          <w:ilvl w:val="0"/>
          <w:numId w:val="6"/>
        </w:numPr>
        <w:spacing w:line="360" w:lineRule="auto"/>
        <w:rPr>
          <w:rFonts w:ascii="宋体" w:hAnsi="宋体" w:eastAsia="宋体"/>
          <w:color w:val="auto"/>
          <w:szCs w:val="21"/>
        </w:rPr>
      </w:pPr>
      <w:bookmarkStart w:id="57" w:name="_Toc398284546"/>
      <w:bookmarkStart w:id="58" w:name="_Toc21045"/>
      <w:bookmarkStart w:id="59" w:name="_Toc10193180"/>
      <w:bookmarkStart w:id="60" w:name="_Toc398504602"/>
      <w:r>
        <w:rPr>
          <w:rFonts w:ascii="宋体" w:hAnsi="宋体" w:eastAsia="宋体"/>
          <w:color w:val="auto"/>
          <w:szCs w:val="21"/>
        </w:rPr>
        <w:t>招标文件的异议</w:t>
      </w:r>
      <w:r>
        <w:rPr>
          <w:rFonts w:hint="eastAsia" w:ascii="宋体" w:hAnsi="宋体" w:eastAsia="宋体"/>
          <w:color w:val="auto"/>
          <w:szCs w:val="21"/>
        </w:rPr>
        <w:t>、</w:t>
      </w:r>
      <w:r>
        <w:rPr>
          <w:rFonts w:ascii="宋体" w:hAnsi="宋体" w:eastAsia="宋体"/>
          <w:color w:val="auto"/>
          <w:szCs w:val="21"/>
        </w:rPr>
        <w:t>澄清</w:t>
      </w:r>
      <w:bookmarkEnd w:id="57"/>
      <w:bookmarkEnd w:id="58"/>
      <w:bookmarkEnd w:id="59"/>
      <w:bookmarkEnd w:id="60"/>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投标人或者其他利害关系人对招标文件有异议的，应当在投标截止时间10日前以书面形式（包括信函、电子邮件或传真，下同）提出。招标人将在收到异议之日起3日内作出答复。</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投标人对招标文件如有疑点，可要求澄清。要求澄清应按投标邀请中载明的地址以书面形式通知招标代理机构。</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招标人或者招标代理机构可以视情况对已发出的招标文件进行必要的澄清或者答复。澄清或者答复的内容可能影响投标文件编制的，招标人或者招标代理机构应当在投标截止时间至少15日前，在发布招标公告的媒体上发布公告或以书面形式通知所有获取招标文件的潜在投标人；不足15日的，招标人或者招标代理机构应当顺延提交投标文件的截止时间。</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招标文件澄清或者答复的内容为招标文件的组成部分。</w:t>
      </w:r>
    </w:p>
    <w:p>
      <w:pPr>
        <w:pStyle w:val="5"/>
        <w:numPr>
          <w:ilvl w:val="0"/>
          <w:numId w:val="6"/>
        </w:numPr>
        <w:spacing w:line="360" w:lineRule="auto"/>
        <w:rPr>
          <w:rFonts w:ascii="宋体" w:hAnsi="宋体" w:eastAsia="宋体"/>
          <w:color w:val="auto"/>
          <w:szCs w:val="21"/>
        </w:rPr>
      </w:pPr>
      <w:bookmarkStart w:id="61" w:name="_Toc398284547"/>
      <w:bookmarkStart w:id="62" w:name="_Toc10193181"/>
      <w:bookmarkStart w:id="63" w:name="_Toc32155"/>
      <w:bookmarkStart w:id="64" w:name="_Toc398504603"/>
      <w:r>
        <w:rPr>
          <w:rFonts w:ascii="宋体" w:hAnsi="宋体" w:eastAsia="宋体"/>
          <w:color w:val="auto"/>
          <w:szCs w:val="21"/>
        </w:rPr>
        <w:t>招标文件的修改</w:t>
      </w:r>
      <w:bookmarkEnd w:id="61"/>
      <w:bookmarkEnd w:id="62"/>
      <w:bookmarkEnd w:id="63"/>
      <w:bookmarkEnd w:id="64"/>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招标人或者招标代理机构可以</w:t>
      </w:r>
      <w:r>
        <w:rPr>
          <w:rFonts w:hint="eastAsia" w:ascii="宋体" w:hAnsi="宋体"/>
          <w:color w:val="auto"/>
          <w:sz w:val="24"/>
        </w:rPr>
        <w:t>主动或依投标人要求澄清的问题</w:t>
      </w:r>
      <w:r>
        <w:rPr>
          <w:rFonts w:ascii="宋体" w:hAnsi="宋体"/>
          <w:color w:val="auto"/>
          <w:sz w:val="24"/>
        </w:rPr>
        <w:t>对已发出的招标文件进行必要的补充或修改。补充或修改的内容可能影响投标文件编制的，招标人或者招标代理机构应当在投标截止时间至少15日前，在</w:t>
      </w:r>
      <w:r>
        <w:rPr>
          <w:rFonts w:hint="eastAsia" w:ascii="宋体" w:hAnsi="宋体"/>
          <w:color w:val="auto"/>
          <w:sz w:val="24"/>
        </w:rPr>
        <w:t>原信息发布媒体上发布公告</w:t>
      </w:r>
      <w:r>
        <w:rPr>
          <w:rFonts w:ascii="宋体" w:hAnsi="宋体"/>
          <w:color w:val="auto"/>
          <w:sz w:val="24"/>
        </w:rPr>
        <w:t>或以书面形式通知所有获取招标文件的潜在投标人；不足15日的，</w:t>
      </w:r>
      <w:r>
        <w:rPr>
          <w:rFonts w:hint="eastAsia" w:ascii="宋体" w:hAnsi="宋体"/>
          <w:color w:val="auto"/>
          <w:sz w:val="24"/>
        </w:rPr>
        <w:t>招标人或者招标代理机构应当顺延提交投标文件的截止时间。该</w:t>
      </w:r>
      <w:r>
        <w:rPr>
          <w:rFonts w:ascii="宋体" w:hAnsi="宋体"/>
          <w:color w:val="auto"/>
          <w:sz w:val="24"/>
        </w:rPr>
        <w:t>补充或</w:t>
      </w:r>
      <w:r>
        <w:rPr>
          <w:rFonts w:hint="eastAsia" w:ascii="宋体" w:hAnsi="宋体"/>
          <w:color w:val="auto"/>
          <w:sz w:val="24"/>
        </w:rPr>
        <w:t>修改内容为招标文件的组成部分，对投标人具有约束力。但本招标文件第7.2条规定的推迟投标截止时间和开标时间情形不受本条约束。</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为使投标人在准备投标文件时有合理的时间考虑投标文件的修改，招标代理机构可酌情推迟投标截止时间和开标时间，但应当至少在投标截止时间3个日历日前将变更时间在</w:t>
      </w:r>
      <w:r>
        <w:rPr>
          <w:rFonts w:hint="eastAsia" w:ascii="宋体" w:hAnsi="宋体"/>
          <w:color w:val="auto"/>
          <w:sz w:val="24"/>
        </w:rPr>
        <w:t>原信息发布媒体上发布公告</w:t>
      </w:r>
      <w:r>
        <w:rPr>
          <w:rFonts w:ascii="宋体" w:hAnsi="宋体"/>
          <w:color w:val="auto"/>
          <w:sz w:val="24"/>
        </w:rPr>
        <w:t>或以书面形式通知所有获取招标文件的潜在投标人</w:t>
      </w:r>
      <w:r>
        <w:rPr>
          <w:rFonts w:hint="eastAsia" w:ascii="宋体" w:hAnsi="宋体"/>
          <w:color w:val="auto"/>
          <w:sz w:val="24"/>
        </w:rPr>
        <w:t>，请投标人关注</w:t>
      </w:r>
      <w:r>
        <w:rPr>
          <w:rFonts w:ascii="宋体" w:hAnsi="宋体"/>
          <w:color w:val="auto"/>
          <w:sz w:val="24"/>
        </w:rPr>
        <w:t>。在此情况下，招标人和投标人受投标截止期制约的所有权利和义务均应延长至新的截止日期。</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答疑文件、补充通知、延期通知、最高限价通知（控制价通知）等相关材料将构成招标文件的一部分，对招投标双方均具有约束力。招标文件、答疑文件、补充通知、延期通知、最高限价通知（控制价通知）等相关材料的内容不一致的，以发文时间在后的为准。</w:t>
      </w:r>
    </w:p>
    <w:p>
      <w:pPr>
        <w:pStyle w:val="4"/>
        <w:spacing w:line="360" w:lineRule="auto"/>
        <w:jc w:val="center"/>
        <w:rPr>
          <w:rFonts w:ascii="宋体" w:hAnsi="宋体" w:eastAsia="宋体"/>
          <w:color w:val="auto"/>
        </w:rPr>
      </w:pPr>
      <w:bookmarkStart w:id="65" w:name="_Toc10193182"/>
      <w:bookmarkStart w:id="66" w:name="_Toc398284548"/>
      <w:bookmarkStart w:id="67" w:name="_Toc398504604"/>
      <w:bookmarkStart w:id="68" w:name="_Toc30646"/>
      <w:r>
        <w:rPr>
          <w:rFonts w:hint="eastAsia" w:ascii="宋体" w:hAnsi="宋体" w:eastAsia="宋体"/>
          <w:color w:val="auto"/>
        </w:rPr>
        <w:t>第</w:t>
      </w:r>
      <w:r>
        <w:rPr>
          <w:rFonts w:ascii="宋体" w:hAnsi="宋体" w:eastAsia="宋体"/>
          <w:color w:val="auto"/>
        </w:rPr>
        <w:t>三</w:t>
      </w:r>
      <w:r>
        <w:rPr>
          <w:rFonts w:hint="eastAsia" w:ascii="宋体" w:hAnsi="宋体" w:eastAsia="宋体"/>
          <w:color w:val="auto"/>
        </w:rPr>
        <w:t xml:space="preserve">节  </w:t>
      </w:r>
      <w:r>
        <w:rPr>
          <w:rFonts w:ascii="宋体" w:hAnsi="宋体" w:eastAsia="宋体"/>
          <w:color w:val="auto"/>
        </w:rPr>
        <w:t>投标文件的编写</w:t>
      </w:r>
      <w:bookmarkEnd w:id="65"/>
      <w:bookmarkEnd w:id="66"/>
      <w:bookmarkEnd w:id="67"/>
      <w:bookmarkEnd w:id="68"/>
    </w:p>
    <w:p>
      <w:pPr>
        <w:pStyle w:val="5"/>
        <w:numPr>
          <w:ilvl w:val="0"/>
          <w:numId w:val="6"/>
        </w:numPr>
        <w:spacing w:line="360" w:lineRule="auto"/>
        <w:rPr>
          <w:rFonts w:ascii="宋体" w:hAnsi="宋体" w:eastAsia="宋体"/>
          <w:color w:val="auto"/>
          <w:szCs w:val="21"/>
        </w:rPr>
      </w:pPr>
      <w:bookmarkStart w:id="69" w:name="_Toc398504605"/>
      <w:bookmarkStart w:id="70" w:name="_Toc398284549"/>
      <w:bookmarkStart w:id="71" w:name="_Toc10193183"/>
      <w:bookmarkStart w:id="72" w:name="_Toc1516"/>
      <w:r>
        <w:rPr>
          <w:rFonts w:ascii="宋体" w:hAnsi="宋体" w:eastAsia="宋体"/>
          <w:color w:val="auto"/>
          <w:szCs w:val="21"/>
        </w:rPr>
        <w:t>要求</w:t>
      </w:r>
      <w:bookmarkEnd w:id="69"/>
      <w:bookmarkEnd w:id="70"/>
      <w:bookmarkEnd w:id="71"/>
      <w:bookmarkEnd w:id="72"/>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投标人应仔细阅读招标文件的所有内容，</w:t>
      </w:r>
      <w:r>
        <w:rPr>
          <w:rFonts w:hint="eastAsia" w:ascii="宋体" w:hAnsi="宋体"/>
          <w:color w:val="auto"/>
          <w:sz w:val="24"/>
        </w:rPr>
        <w:t>按照招标文件的要求编制投标文件。投标文件应当对招标文件提出的要求和条件作出明确响应</w:t>
      </w:r>
      <w:r>
        <w:rPr>
          <w:rFonts w:ascii="宋体" w:hAnsi="宋体"/>
          <w:color w:val="auto"/>
          <w:sz w:val="24"/>
        </w:rPr>
        <w:t>，并保证所提供的全部资料的真实性，否则其投标将被拒绝。</w:t>
      </w:r>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除非有另外的规定，投标人可对招标</w:t>
      </w:r>
      <w:r>
        <w:rPr>
          <w:rFonts w:hint="eastAsia" w:ascii="宋体" w:hAnsi="宋体"/>
          <w:color w:val="auto"/>
          <w:sz w:val="24"/>
        </w:rPr>
        <w:t>项目</w:t>
      </w:r>
      <w:r>
        <w:rPr>
          <w:rFonts w:ascii="宋体" w:hAnsi="宋体"/>
          <w:color w:val="auto"/>
          <w:sz w:val="24"/>
        </w:rPr>
        <w:t>一览表所列的全部合同包或部分合同包进行投标。招标</w:t>
      </w:r>
      <w:r>
        <w:rPr>
          <w:rFonts w:hint="eastAsia" w:ascii="宋体" w:hAnsi="宋体"/>
          <w:color w:val="auto"/>
          <w:sz w:val="24"/>
        </w:rPr>
        <w:t>人</w:t>
      </w:r>
      <w:r>
        <w:rPr>
          <w:rFonts w:ascii="宋体" w:hAnsi="宋体"/>
          <w:color w:val="auto"/>
          <w:sz w:val="24"/>
        </w:rPr>
        <w:t>不接受有任何可选择性的报价，每一种货物</w:t>
      </w:r>
      <w:r>
        <w:rPr>
          <w:rFonts w:hint="eastAsia" w:ascii="宋体" w:hAnsi="宋体"/>
          <w:color w:val="auto"/>
          <w:sz w:val="24"/>
        </w:rPr>
        <w:t>或</w:t>
      </w:r>
      <w:r>
        <w:rPr>
          <w:rFonts w:ascii="宋体" w:hAnsi="宋体"/>
          <w:color w:val="auto"/>
          <w:sz w:val="24"/>
        </w:rPr>
        <w:t>服务只能有一个报价。</w:t>
      </w:r>
    </w:p>
    <w:p>
      <w:pPr>
        <w:pStyle w:val="5"/>
        <w:numPr>
          <w:ilvl w:val="0"/>
          <w:numId w:val="6"/>
        </w:numPr>
        <w:spacing w:line="360" w:lineRule="auto"/>
        <w:rPr>
          <w:rFonts w:ascii="宋体" w:hAnsi="宋体" w:eastAsia="宋体"/>
          <w:color w:val="auto"/>
          <w:szCs w:val="21"/>
        </w:rPr>
      </w:pPr>
      <w:bookmarkStart w:id="73" w:name="_Toc10193184"/>
      <w:bookmarkStart w:id="74" w:name="_Toc20838"/>
      <w:bookmarkStart w:id="75" w:name="_Toc398284550"/>
      <w:bookmarkStart w:id="76" w:name="_Toc398504606"/>
      <w:r>
        <w:rPr>
          <w:rFonts w:ascii="宋体" w:hAnsi="宋体" w:eastAsia="宋体"/>
          <w:color w:val="auto"/>
          <w:szCs w:val="21"/>
        </w:rPr>
        <w:t>投标文件语言</w:t>
      </w:r>
      <w:bookmarkEnd w:id="73"/>
      <w:bookmarkEnd w:id="74"/>
      <w:bookmarkEnd w:id="75"/>
      <w:bookmarkEnd w:id="76"/>
    </w:p>
    <w:p>
      <w:pPr>
        <w:numPr>
          <w:ilvl w:val="1"/>
          <w:numId w:val="6"/>
        </w:numPr>
        <w:tabs>
          <w:tab w:val="left" w:pos="823"/>
          <w:tab w:val="clear" w:pos="4084"/>
        </w:tabs>
        <w:spacing w:line="360" w:lineRule="auto"/>
        <w:ind w:left="-141" w:firstLine="480"/>
        <w:rPr>
          <w:rFonts w:ascii="宋体" w:hAnsi="宋体"/>
          <w:color w:val="auto"/>
          <w:sz w:val="24"/>
        </w:rPr>
      </w:pPr>
      <w:r>
        <w:rPr>
          <w:rFonts w:ascii="宋体" w:hAnsi="宋体"/>
          <w:color w:val="auto"/>
          <w:sz w:val="24"/>
        </w:rPr>
        <w:t>投标文件应用中文书写。投标文件中所附或所引用的原件不是中文时，应附中文译本</w:t>
      </w:r>
      <w:r>
        <w:rPr>
          <w:rFonts w:hint="eastAsia" w:ascii="宋体" w:hAnsi="宋体"/>
          <w:color w:val="auto"/>
          <w:sz w:val="24"/>
        </w:rPr>
        <w:t>，专用术语使用外文的，应附有中文注释。</w:t>
      </w:r>
      <w:r>
        <w:rPr>
          <w:rFonts w:ascii="宋体" w:hAnsi="宋体"/>
          <w:color w:val="auto"/>
          <w:sz w:val="24"/>
        </w:rPr>
        <w:t>对不同文字文本投标文件的解释发生异议的，以中文文本为准。</w:t>
      </w:r>
    </w:p>
    <w:p>
      <w:pPr>
        <w:numPr>
          <w:ilvl w:val="1"/>
          <w:numId w:val="6"/>
        </w:numPr>
        <w:tabs>
          <w:tab w:val="left" w:pos="823"/>
          <w:tab w:val="clear" w:pos="4084"/>
        </w:tabs>
        <w:spacing w:line="360" w:lineRule="auto"/>
        <w:ind w:left="-141" w:firstLine="480"/>
        <w:rPr>
          <w:rFonts w:ascii="宋体" w:hAnsi="宋体"/>
          <w:color w:val="auto"/>
          <w:sz w:val="24"/>
        </w:rPr>
      </w:pPr>
      <w:r>
        <w:rPr>
          <w:rFonts w:hint="eastAsia" w:ascii="宋体" w:hAnsi="宋体"/>
          <w:color w:val="auto"/>
          <w:sz w:val="24"/>
        </w:rPr>
        <w:t>所有计量均采用中华人民共和国法定计量单位。</w:t>
      </w:r>
      <w:r>
        <w:rPr>
          <w:rFonts w:ascii="宋体" w:hAnsi="宋体"/>
          <w:color w:val="auto"/>
          <w:sz w:val="24"/>
        </w:rPr>
        <w:t>符号采用国际上统一使用的符号。</w:t>
      </w:r>
    </w:p>
    <w:p>
      <w:pPr>
        <w:pStyle w:val="5"/>
        <w:numPr>
          <w:ilvl w:val="0"/>
          <w:numId w:val="6"/>
        </w:numPr>
        <w:spacing w:line="360" w:lineRule="auto"/>
        <w:rPr>
          <w:rFonts w:ascii="宋体" w:hAnsi="宋体" w:eastAsia="宋体"/>
          <w:color w:val="auto"/>
          <w:szCs w:val="21"/>
        </w:rPr>
      </w:pPr>
      <w:bookmarkStart w:id="77" w:name="_Toc398284551"/>
      <w:bookmarkStart w:id="78" w:name="_Toc398504607"/>
      <w:bookmarkStart w:id="79" w:name="_Toc10193185"/>
      <w:bookmarkStart w:id="80" w:name="_Toc2456"/>
      <w:r>
        <w:rPr>
          <w:rFonts w:ascii="宋体" w:hAnsi="宋体" w:eastAsia="宋体"/>
          <w:color w:val="auto"/>
          <w:szCs w:val="21"/>
        </w:rPr>
        <w:t>投标文件的组成</w:t>
      </w:r>
      <w:bookmarkEnd w:id="77"/>
      <w:bookmarkEnd w:id="78"/>
      <w:bookmarkEnd w:id="79"/>
      <w:bookmarkEnd w:id="80"/>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投标文件应根据投标须知内容编列</w:t>
      </w:r>
      <w:r>
        <w:rPr>
          <w:rFonts w:hint="eastAsia" w:ascii="宋体" w:hAnsi="宋体"/>
          <w:color w:val="auto"/>
          <w:sz w:val="24"/>
        </w:rPr>
        <w:t>，</w:t>
      </w:r>
      <w:r>
        <w:rPr>
          <w:rFonts w:ascii="宋体" w:hAnsi="宋体"/>
          <w:color w:val="auto"/>
          <w:sz w:val="24"/>
        </w:rPr>
        <w:t>至少应包括</w:t>
      </w:r>
      <w:r>
        <w:rPr>
          <w:rFonts w:hint="eastAsia" w:ascii="宋体" w:hAnsi="宋体"/>
          <w:color w:val="auto"/>
          <w:sz w:val="24"/>
        </w:rPr>
        <w:t>但不限于</w:t>
      </w:r>
      <w:r>
        <w:rPr>
          <w:rFonts w:ascii="宋体" w:hAnsi="宋体"/>
          <w:color w:val="auto"/>
          <w:sz w:val="24"/>
        </w:rPr>
        <w:t>下列部分：</w:t>
      </w:r>
    </w:p>
    <w:p>
      <w:pPr>
        <w:keepNext w:val="0"/>
        <w:keepLines w:val="0"/>
        <w:widowControl w:val="0"/>
        <w:numPr>
          <w:ilvl w:val="0"/>
          <w:numId w:val="8"/>
        </w:numPr>
        <w:suppressLineNumbers w:val="0"/>
        <w:autoSpaceDE w:val="0"/>
        <w:autoSpaceDN/>
        <w:spacing w:before="0" w:beforeAutospacing="0" w:after="0" w:afterAutospacing="0"/>
        <w:ind w:left="845" w:leftChars="0" w:right="0" w:hanging="425" w:firstLineChars="0"/>
        <w:jc w:val="both"/>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投标书</w:t>
      </w:r>
    </w:p>
    <w:p>
      <w:pPr>
        <w:keepNext w:val="0"/>
        <w:keepLines w:val="0"/>
        <w:widowControl w:val="0"/>
        <w:numPr>
          <w:ilvl w:val="0"/>
          <w:numId w:val="8"/>
        </w:numPr>
        <w:suppressLineNumbers w:val="0"/>
        <w:autoSpaceDE w:val="0"/>
        <w:autoSpaceDN/>
        <w:spacing w:before="0" w:beforeAutospacing="0" w:after="0" w:afterAutospacing="0"/>
        <w:ind w:left="845" w:leftChars="0" w:right="0" w:hanging="425" w:firstLineChars="0"/>
        <w:jc w:val="both"/>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开标一览表</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投标分项报价表</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维护保养方案</w:t>
      </w:r>
      <w:r>
        <w:rPr>
          <w:rFonts w:hint="eastAsia" w:ascii="宋体" w:hAnsi="Times New Roman" w:eastAsia="宋体" w:cs="Times New Roman"/>
          <w:color w:val="auto"/>
          <w:kern w:val="2"/>
          <w:sz w:val="24"/>
          <w:szCs w:val="24"/>
          <w:lang w:val="en-US" w:eastAsia="zh-CN" w:bidi="ar"/>
        </w:rPr>
        <w:t xml:space="preserve"> </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服务人员情况</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服务设备情况</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承诺函</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业绩项目信息</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技术规格和商务偏离表</w:t>
      </w:r>
      <w:r>
        <w:rPr>
          <w:rFonts w:hint="eastAsia" w:ascii="宋体" w:hAnsi="Times New Roman" w:eastAsia="宋体" w:cs="Times New Roman"/>
          <w:color w:val="auto"/>
          <w:kern w:val="2"/>
          <w:sz w:val="24"/>
          <w:szCs w:val="24"/>
          <w:lang w:val="en-US" w:eastAsia="zh-CN" w:bidi="ar"/>
        </w:rPr>
        <w:t xml:space="preserve"> </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投标人的资格证明文件</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投标人提交的其它资料</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招标代理服务费及付款方式承诺书</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廉洁承诺书</w:t>
      </w:r>
    </w:p>
    <w:p>
      <w:pPr>
        <w:pStyle w:val="38"/>
        <w:keepNext w:val="0"/>
        <w:keepLines w:val="0"/>
        <w:widowControl w:val="0"/>
        <w:numPr>
          <w:ilvl w:val="0"/>
          <w:numId w:val="8"/>
        </w:numPr>
        <w:suppressLineNumbers w:val="0"/>
        <w:spacing w:before="0" w:beforeAutospacing="1" w:after="0" w:afterAutospacing="1"/>
        <w:ind w:left="84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保证金缴交信息表</w:t>
      </w:r>
    </w:p>
    <w:p>
      <w:pPr>
        <w:widowControl/>
        <w:spacing w:line="360" w:lineRule="auto"/>
        <w:ind w:firstLine="480" w:firstLineChars="200"/>
        <w:jc w:val="left"/>
        <w:rPr>
          <w:rFonts w:ascii="宋体" w:hAnsi="宋体" w:cs="Arial"/>
          <w:color w:val="auto"/>
          <w:kern w:val="0"/>
          <w:sz w:val="24"/>
        </w:rPr>
      </w:pPr>
      <w:r>
        <w:rPr>
          <w:rFonts w:ascii="宋体" w:hAnsi="宋体" w:cs="Arial"/>
          <w:color w:val="auto"/>
          <w:kern w:val="0"/>
          <w:sz w:val="24"/>
        </w:rPr>
        <w:t>投标人在评标过程中作出的符合法律法规和招标文件规定的澄清确认，构成投标文件的组成部分。</w:t>
      </w:r>
    </w:p>
    <w:p>
      <w:pPr>
        <w:pStyle w:val="5"/>
        <w:numPr>
          <w:ilvl w:val="0"/>
          <w:numId w:val="6"/>
        </w:numPr>
        <w:spacing w:line="360" w:lineRule="auto"/>
        <w:rPr>
          <w:rFonts w:ascii="宋体" w:hAnsi="宋体" w:eastAsia="宋体"/>
          <w:color w:val="auto"/>
          <w:szCs w:val="21"/>
        </w:rPr>
      </w:pPr>
      <w:bookmarkStart w:id="81" w:name="_Toc10193186"/>
      <w:bookmarkStart w:id="82" w:name="_Toc398284552"/>
      <w:bookmarkStart w:id="83" w:name="_Toc23121"/>
      <w:bookmarkStart w:id="84" w:name="_Toc398504608"/>
      <w:r>
        <w:rPr>
          <w:rFonts w:ascii="宋体" w:hAnsi="宋体" w:eastAsia="宋体"/>
          <w:color w:val="auto"/>
          <w:szCs w:val="21"/>
        </w:rPr>
        <w:t>投标有效期</w:t>
      </w:r>
      <w:bookmarkEnd w:id="81"/>
      <w:bookmarkEnd w:id="82"/>
      <w:bookmarkEnd w:id="83"/>
      <w:bookmarkEnd w:id="84"/>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w:t>
      </w:r>
      <w:r>
        <w:rPr>
          <w:rFonts w:hint="eastAsia" w:ascii="宋体" w:hAnsi="宋体"/>
          <w:color w:val="auto"/>
          <w:sz w:val="24"/>
        </w:rPr>
        <w:t>有效期从《</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所规定的</w:t>
      </w:r>
      <w:r>
        <w:rPr>
          <w:rFonts w:hint="eastAsia" w:ascii="宋体" w:hAnsi="宋体"/>
          <w:color w:val="auto"/>
          <w:sz w:val="24"/>
        </w:rPr>
        <w:t>提交投标文件的截止之日起算</w:t>
      </w:r>
      <w:r>
        <w:rPr>
          <w:rFonts w:ascii="宋体" w:hAnsi="宋体"/>
          <w:color w:val="auto"/>
          <w:sz w:val="24"/>
        </w:rPr>
        <w:t>，在</w:t>
      </w:r>
      <w:r>
        <w:rPr>
          <w:rFonts w:hint="eastAsia" w:ascii="宋体" w:hAnsi="宋体"/>
          <w:color w:val="auto"/>
          <w:sz w:val="24"/>
        </w:rPr>
        <w:t>《</w:t>
      </w:r>
      <w:r>
        <w:rPr>
          <w:rFonts w:ascii="宋体" w:hAnsi="宋体"/>
          <w:color w:val="auto"/>
          <w:sz w:val="24"/>
        </w:rPr>
        <w:t>投标人须知前附表</w:t>
      </w:r>
      <w:r>
        <w:rPr>
          <w:rFonts w:hint="eastAsia" w:ascii="宋体" w:hAnsi="宋体"/>
          <w:color w:val="auto"/>
          <w:sz w:val="24"/>
        </w:rPr>
        <w:t>2》</w:t>
      </w:r>
      <w:r>
        <w:rPr>
          <w:rFonts w:ascii="宋体" w:hAnsi="宋体"/>
          <w:color w:val="auto"/>
          <w:sz w:val="24"/>
        </w:rPr>
        <w:t>所规定的期限内保持有效。有效期不足将导致其投标文件被拒绝。</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在投标有效期内，投标人撤销投标文件的，应承担招标文件和法律规定的责任。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特殊情况下招标代理机构可于投标有效期满之前书面要求投标人同意延长投标有效期，投标人应在招标代理机构规定的期限内以书面形式予以答复。投标人可以拒绝上述要求而其投标保证金可按规定予以退还。投标人答复不明确或者逾期未答复的，均视为拒绝上述要求</w:t>
      </w:r>
      <w:r>
        <w:rPr>
          <w:rFonts w:hint="eastAsia" w:ascii="宋体" w:hAnsi="宋体"/>
          <w:color w:val="auto"/>
          <w:sz w:val="24"/>
        </w:rPr>
        <w:t>，其投标失效</w:t>
      </w:r>
      <w:r>
        <w:rPr>
          <w:rFonts w:ascii="宋体" w:hAnsi="宋体"/>
          <w:color w:val="auto"/>
          <w:sz w:val="24"/>
        </w:rPr>
        <w:t>。对于接受该要求的投标人，既不要求也不允许其修改投标文件，但将要求其相应延长投标保证金有效期，有关退还和不予退还投标保证金的规定在投标有效期延长期内继续有效。</w:t>
      </w:r>
    </w:p>
    <w:p>
      <w:pPr>
        <w:pStyle w:val="5"/>
        <w:numPr>
          <w:ilvl w:val="0"/>
          <w:numId w:val="6"/>
        </w:numPr>
        <w:spacing w:line="360" w:lineRule="auto"/>
        <w:rPr>
          <w:rFonts w:ascii="宋体" w:hAnsi="宋体" w:eastAsia="宋体"/>
          <w:color w:val="auto"/>
          <w:szCs w:val="21"/>
        </w:rPr>
      </w:pPr>
      <w:bookmarkStart w:id="85" w:name="_Toc398504609"/>
      <w:bookmarkStart w:id="86" w:name="_Toc10193187"/>
      <w:bookmarkStart w:id="87" w:name="_Toc398284553"/>
      <w:bookmarkStart w:id="88" w:name="_Toc24748"/>
      <w:r>
        <w:rPr>
          <w:rFonts w:ascii="宋体" w:hAnsi="宋体" w:eastAsia="宋体"/>
          <w:color w:val="auto"/>
          <w:szCs w:val="21"/>
        </w:rPr>
        <w:t>投标保证金</w:t>
      </w:r>
      <w:bookmarkEnd w:id="85"/>
      <w:bookmarkEnd w:id="86"/>
      <w:bookmarkEnd w:id="87"/>
      <w:r>
        <w:rPr>
          <w:rFonts w:hint="eastAsia" w:ascii="宋体" w:hAnsi="宋体" w:eastAsia="宋体"/>
          <w:color w:val="auto"/>
          <w:szCs w:val="21"/>
        </w:rPr>
        <w:t>及招标代理服务费</w:t>
      </w:r>
      <w:bookmarkEnd w:id="88"/>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投标保证金</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投标保证金为投标文件的组成部分之一。</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投标人应在提交投标文件之前向招标代理机构指定的保证金</w:t>
      </w:r>
      <w:r>
        <w:rPr>
          <w:rFonts w:hint="eastAsia" w:ascii="宋体" w:hAnsi="宋体"/>
          <w:color w:val="auto"/>
          <w:sz w:val="24"/>
        </w:rPr>
        <w:t>账户</w:t>
      </w:r>
      <w:r>
        <w:rPr>
          <w:rFonts w:ascii="宋体" w:hAnsi="宋体"/>
          <w:color w:val="auto"/>
          <w:sz w:val="24"/>
        </w:rPr>
        <w:t>缴交</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要求的投标保证金。</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投标保证金用于保护本次招标活动免受投标人的行为而引起的风险。</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投标保证金可以采用转账、电汇等形式提交，必须在投标截止时间前到达指定帐户，同时在投标时还应提供相关到账证明材料。</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未按规定缴交投标保证金的投标，将被视为无效投标。</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中标通知书发出后，招标代理机构</w:t>
      </w:r>
      <w:r>
        <w:rPr>
          <w:rFonts w:ascii="宋体" w:hAnsi="宋体"/>
          <w:color w:val="auto"/>
          <w:sz w:val="24"/>
        </w:rPr>
        <w:t>将</w:t>
      </w:r>
      <w:r>
        <w:rPr>
          <w:rFonts w:hint="eastAsia" w:ascii="宋体" w:hAnsi="宋体"/>
          <w:color w:val="auto"/>
          <w:sz w:val="24"/>
        </w:rPr>
        <w:t>在5日内予以原额无息退还未</w:t>
      </w:r>
      <w:r>
        <w:rPr>
          <w:rFonts w:ascii="宋体" w:hAnsi="宋体"/>
          <w:color w:val="auto"/>
          <w:sz w:val="24"/>
        </w:rPr>
        <w:t>中标</w:t>
      </w:r>
      <w:r>
        <w:rPr>
          <w:rFonts w:hint="eastAsia" w:ascii="宋体" w:hAnsi="宋体"/>
          <w:color w:val="auto"/>
          <w:sz w:val="24"/>
        </w:rPr>
        <w:t>人</w:t>
      </w:r>
      <w:r>
        <w:rPr>
          <w:rFonts w:ascii="宋体" w:hAnsi="宋体"/>
          <w:color w:val="auto"/>
          <w:sz w:val="24"/>
        </w:rPr>
        <w:t>的投标保证金</w:t>
      </w:r>
      <w:r>
        <w:rPr>
          <w:rFonts w:hint="eastAsia" w:ascii="宋体" w:hAnsi="宋体"/>
          <w:color w:val="auto"/>
          <w:sz w:val="24"/>
        </w:rPr>
        <w:t>。</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在中标人支付所有招标代理服务费并签订合同（招标人如有要求中标人支付履约保证金的，则增加：并向招标人支付履约保证金）后，且中标人提交采购合同等有关资料之日起的5日内，招标代理机构对中标人的投标保证金予以原额无息退还。</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投标保证金有效期与投标有效期一致</w:t>
      </w:r>
      <w:r>
        <w:rPr>
          <w:rFonts w:ascii="宋体" w:hAnsi="宋体"/>
          <w:color w:val="auto"/>
          <w:sz w:val="24"/>
        </w:rPr>
        <w:t>。</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发生以下情形之一的，投标保证金将不予退还：</w:t>
      </w:r>
    </w:p>
    <w:p>
      <w:pPr>
        <w:numPr>
          <w:ilvl w:val="3"/>
          <w:numId w:val="6"/>
        </w:numPr>
        <w:tabs>
          <w:tab w:val="left" w:pos="1418"/>
        </w:tabs>
        <w:spacing w:line="360" w:lineRule="auto"/>
        <w:rPr>
          <w:rFonts w:ascii="宋体" w:hAnsi="宋体"/>
          <w:color w:val="auto"/>
          <w:sz w:val="24"/>
        </w:rPr>
      </w:pPr>
      <w:r>
        <w:rPr>
          <w:rFonts w:hint="eastAsia" w:ascii="宋体" w:hAnsi="宋体"/>
          <w:color w:val="auto"/>
          <w:sz w:val="24"/>
        </w:rPr>
        <w:t>投标截止后投标人撤销投标文件的，招标人可以不退还投标保证金</w:t>
      </w:r>
      <w:r>
        <w:rPr>
          <w:rFonts w:ascii="宋体" w:hAnsi="宋体"/>
          <w:color w:val="auto"/>
          <w:sz w:val="24"/>
        </w:rPr>
        <w:t>；</w:t>
      </w:r>
    </w:p>
    <w:p>
      <w:pPr>
        <w:numPr>
          <w:ilvl w:val="3"/>
          <w:numId w:val="6"/>
        </w:numPr>
        <w:tabs>
          <w:tab w:val="left" w:pos="1418"/>
        </w:tabs>
        <w:spacing w:line="360" w:lineRule="auto"/>
        <w:rPr>
          <w:rFonts w:ascii="宋体" w:hAnsi="宋体"/>
          <w:color w:val="auto"/>
          <w:sz w:val="24"/>
        </w:rPr>
      </w:pPr>
      <w:r>
        <w:rPr>
          <w:rFonts w:ascii="宋体" w:hAnsi="宋体"/>
          <w:color w:val="auto"/>
          <w:sz w:val="24"/>
        </w:rPr>
        <w:t>中标人未能按本</w:t>
      </w:r>
      <w:r>
        <w:rPr>
          <w:rFonts w:hint="eastAsia" w:ascii="宋体" w:hAnsi="宋体"/>
          <w:color w:val="auto"/>
          <w:sz w:val="24"/>
        </w:rPr>
        <w:t>招标</w:t>
      </w:r>
      <w:r>
        <w:rPr>
          <w:rFonts w:ascii="宋体" w:hAnsi="宋体"/>
          <w:color w:val="auto"/>
          <w:sz w:val="24"/>
        </w:rPr>
        <w:t>文件规定签订合同；</w:t>
      </w:r>
    </w:p>
    <w:p>
      <w:pPr>
        <w:numPr>
          <w:ilvl w:val="3"/>
          <w:numId w:val="6"/>
        </w:numPr>
        <w:tabs>
          <w:tab w:val="left" w:pos="1418"/>
        </w:tabs>
        <w:spacing w:line="360" w:lineRule="auto"/>
        <w:rPr>
          <w:rFonts w:ascii="宋体" w:hAnsi="宋体"/>
          <w:color w:val="auto"/>
          <w:sz w:val="24"/>
        </w:rPr>
      </w:pPr>
      <w:r>
        <w:rPr>
          <w:rFonts w:ascii="宋体" w:hAnsi="宋体"/>
          <w:color w:val="auto"/>
          <w:sz w:val="24"/>
        </w:rPr>
        <w:t>中标人未按</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规定缴纳</w:t>
      </w:r>
      <w:r>
        <w:rPr>
          <w:rFonts w:hint="eastAsia" w:ascii="宋体" w:hAnsi="宋体"/>
          <w:color w:val="auto"/>
          <w:sz w:val="24"/>
        </w:rPr>
        <w:t>招标代理服务费</w:t>
      </w:r>
      <w:r>
        <w:rPr>
          <w:rFonts w:ascii="宋体" w:hAnsi="宋体"/>
          <w:color w:val="auto"/>
          <w:sz w:val="24"/>
        </w:rPr>
        <w:t>；（招标人如有要求中标人支付履约保证金的，</w:t>
      </w:r>
      <w:r>
        <w:rPr>
          <w:rFonts w:hint="eastAsia" w:ascii="宋体" w:hAnsi="宋体"/>
          <w:color w:val="auto"/>
          <w:sz w:val="24"/>
        </w:rPr>
        <w:t>则</w:t>
      </w:r>
      <w:r>
        <w:rPr>
          <w:rFonts w:ascii="宋体" w:hAnsi="宋体"/>
          <w:color w:val="auto"/>
          <w:sz w:val="24"/>
        </w:rPr>
        <w:t>增加：“中标人未按本须知规定提交履约保证金的；</w:t>
      </w:r>
      <w:r>
        <w:rPr>
          <w:rFonts w:hint="eastAsia" w:ascii="宋体" w:hAnsi="宋体"/>
          <w:color w:val="auto"/>
          <w:sz w:val="24"/>
        </w:rPr>
        <w:t>”</w:t>
      </w:r>
      <w:r>
        <w:rPr>
          <w:rFonts w:ascii="宋体" w:hAnsi="宋体"/>
          <w:color w:val="auto"/>
          <w:sz w:val="24"/>
        </w:rPr>
        <w:t>）</w:t>
      </w:r>
    </w:p>
    <w:p>
      <w:pPr>
        <w:numPr>
          <w:ilvl w:val="3"/>
          <w:numId w:val="6"/>
        </w:numPr>
        <w:tabs>
          <w:tab w:val="left" w:pos="1418"/>
        </w:tabs>
        <w:spacing w:line="360" w:lineRule="auto"/>
        <w:rPr>
          <w:rFonts w:ascii="宋体" w:hAnsi="宋体"/>
          <w:color w:val="auto"/>
          <w:sz w:val="24"/>
        </w:rPr>
      </w:pPr>
      <w:r>
        <w:rPr>
          <w:rFonts w:ascii="宋体" w:hAnsi="宋体"/>
          <w:color w:val="auto"/>
          <w:sz w:val="24"/>
        </w:rPr>
        <w:t>以他人名义投标或者以其他方式弄虚作假，骗取中标；</w:t>
      </w:r>
    </w:p>
    <w:p>
      <w:pPr>
        <w:numPr>
          <w:ilvl w:val="3"/>
          <w:numId w:val="6"/>
        </w:numPr>
        <w:tabs>
          <w:tab w:val="left" w:pos="1418"/>
        </w:tabs>
        <w:spacing w:line="360" w:lineRule="auto"/>
        <w:rPr>
          <w:rFonts w:ascii="宋体" w:hAnsi="宋体"/>
          <w:color w:val="auto"/>
          <w:sz w:val="24"/>
        </w:rPr>
      </w:pPr>
      <w:r>
        <w:rPr>
          <w:rFonts w:ascii="宋体" w:hAnsi="宋体"/>
          <w:color w:val="auto"/>
          <w:sz w:val="24"/>
        </w:rPr>
        <w:t>本招标文件中规定的其他没收投标保证金的情形。</w:t>
      </w:r>
    </w:p>
    <w:p>
      <w:pPr>
        <w:spacing w:line="360" w:lineRule="auto"/>
        <w:ind w:firstLine="480" w:firstLineChars="200"/>
        <w:rPr>
          <w:rFonts w:ascii="宋体" w:hAnsi="宋体"/>
          <w:color w:val="auto"/>
          <w:sz w:val="24"/>
        </w:rPr>
      </w:pPr>
      <w:r>
        <w:rPr>
          <w:rFonts w:ascii="宋体" w:hAnsi="宋体"/>
          <w:color w:val="auto"/>
          <w:sz w:val="24"/>
        </w:rPr>
        <w:t>上述不予退还投标保证金的情形给</w:t>
      </w:r>
      <w:r>
        <w:rPr>
          <w:rFonts w:hint="eastAsia" w:ascii="宋体" w:hAnsi="宋体"/>
          <w:color w:val="auto"/>
          <w:sz w:val="24"/>
        </w:rPr>
        <w:t>招标</w:t>
      </w:r>
      <w:r>
        <w:rPr>
          <w:rFonts w:ascii="宋体" w:hAnsi="宋体"/>
          <w:color w:val="auto"/>
          <w:sz w:val="24"/>
        </w:rPr>
        <w:t>人或招标代理机构造成损失的，相关责任人还应当承担赔偿责任。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招标代理服务费</w:t>
      </w:r>
    </w:p>
    <w:p>
      <w:pPr>
        <w:spacing w:line="360" w:lineRule="auto"/>
        <w:ind w:firstLine="480" w:firstLineChars="200"/>
        <w:rPr>
          <w:rFonts w:ascii="宋体" w:hAnsi="宋体"/>
          <w:color w:val="auto"/>
          <w:sz w:val="24"/>
        </w:rPr>
      </w:pPr>
      <w:r>
        <w:rPr>
          <w:rFonts w:hint="eastAsia" w:ascii="宋体" w:hAnsi="宋体"/>
          <w:color w:val="auto"/>
          <w:sz w:val="24"/>
        </w:rPr>
        <w:t>本项目招标代理服务费须由中标人向招标代理机构缴纳，于领取中标通知书的同时以转账、汇票、现金等方式一次性缴清。</w:t>
      </w:r>
    </w:p>
    <w:p>
      <w:pPr>
        <w:pStyle w:val="5"/>
        <w:numPr>
          <w:ilvl w:val="0"/>
          <w:numId w:val="6"/>
        </w:numPr>
        <w:spacing w:line="360" w:lineRule="auto"/>
        <w:rPr>
          <w:rFonts w:ascii="宋体" w:hAnsi="宋体" w:eastAsia="宋体"/>
          <w:color w:val="auto"/>
          <w:szCs w:val="21"/>
        </w:rPr>
      </w:pPr>
      <w:bookmarkStart w:id="89" w:name="_Toc30396"/>
      <w:bookmarkStart w:id="90" w:name="_Toc398504610"/>
      <w:bookmarkStart w:id="91" w:name="_Toc398284554"/>
      <w:bookmarkStart w:id="92" w:name="_Toc10193188"/>
      <w:r>
        <w:rPr>
          <w:rFonts w:ascii="宋体" w:hAnsi="宋体" w:eastAsia="宋体"/>
          <w:color w:val="auto"/>
          <w:szCs w:val="21"/>
        </w:rPr>
        <w:t>投标文件的格式</w:t>
      </w:r>
      <w:bookmarkEnd w:id="89"/>
      <w:bookmarkEnd w:id="90"/>
      <w:bookmarkEnd w:id="91"/>
      <w:bookmarkEnd w:id="92"/>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投标人须编制由本须知第10条规定文件组成的投标文件正本一份，副本</w:t>
      </w:r>
      <w:r>
        <w:rPr>
          <w:rFonts w:hint="eastAsia" w:ascii="宋体" w:hAnsi="宋体"/>
          <w:color w:val="auto"/>
          <w:sz w:val="24"/>
        </w:rPr>
        <w:t>二</w:t>
      </w:r>
      <w:r>
        <w:rPr>
          <w:rFonts w:ascii="宋体" w:hAnsi="宋体"/>
          <w:color w:val="auto"/>
          <w:sz w:val="24"/>
        </w:rPr>
        <w:t>份，</w:t>
      </w:r>
      <w:r>
        <w:rPr>
          <w:rFonts w:hint="eastAsia" w:ascii="宋体" w:hAnsi="宋体"/>
          <w:color w:val="auto"/>
          <w:sz w:val="24"/>
        </w:rPr>
        <w:t>及投标文件电子档一份（可采用U盘形式），</w:t>
      </w:r>
      <w:r>
        <w:rPr>
          <w:rFonts w:ascii="宋体" w:hAnsi="宋体"/>
          <w:color w:val="auto"/>
          <w:sz w:val="24"/>
        </w:rPr>
        <w:t>正本必须用A4幅面纸张打印装订，副本可以用正本的完整复印件</w:t>
      </w:r>
      <w:r>
        <w:rPr>
          <w:rFonts w:hint="eastAsia" w:ascii="宋体" w:hAnsi="宋体"/>
          <w:color w:val="auto"/>
          <w:sz w:val="24"/>
        </w:rPr>
        <w:t>。图纸可用A3幅面纸打印并单独装订（一正二副）。正本和副本的封面应标记“正本”或“副本”的字样</w:t>
      </w:r>
      <w:r>
        <w:rPr>
          <w:rFonts w:ascii="宋体" w:hAnsi="宋体"/>
          <w:color w:val="auto"/>
          <w:sz w:val="24"/>
        </w:rPr>
        <w:t>。正本</w:t>
      </w:r>
      <w:r>
        <w:rPr>
          <w:rFonts w:hint="eastAsia" w:ascii="宋体" w:hAnsi="宋体"/>
          <w:color w:val="auto"/>
          <w:sz w:val="24"/>
        </w:rPr>
        <w:t>、</w:t>
      </w:r>
      <w:r>
        <w:rPr>
          <w:rFonts w:ascii="宋体" w:hAnsi="宋体"/>
          <w:color w:val="auto"/>
          <w:sz w:val="24"/>
        </w:rPr>
        <w:t>副本</w:t>
      </w:r>
      <w:r>
        <w:rPr>
          <w:rFonts w:hint="eastAsia" w:ascii="宋体" w:hAnsi="宋体"/>
          <w:color w:val="auto"/>
          <w:sz w:val="24"/>
        </w:rPr>
        <w:t>、电子档</w:t>
      </w:r>
      <w:r>
        <w:rPr>
          <w:rFonts w:ascii="宋体" w:hAnsi="宋体"/>
          <w:color w:val="auto"/>
          <w:sz w:val="24"/>
        </w:rPr>
        <w:t>如有不一致，则以</w:t>
      </w:r>
      <w:r>
        <w:rPr>
          <w:rFonts w:hint="eastAsia" w:ascii="宋体" w:hAnsi="宋体"/>
          <w:color w:val="auto"/>
          <w:sz w:val="24"/>
        </w:rPr>
        <w:t>纸质</w:t>
      </w:r>
      <w:r>
        <w:rPr>
          <w:rFonts w:ascii="宋体" w:hAnsi="宋体"/>
          <w:color w:val="auto"/>
          <w:sz w:val="24"/>
        </w:rPr>
        <w:t>正本为准。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投标文件应由投标人的法定代表人或者其授权代表签字并加盖公章，如由后者签字，应提供“法定代表人授权委托书”。</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除非有另外的规定或许可，投标使用货币为人民币。</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投标人应提交证明其拟供货物</w:t>
      </w:r>
      <w:r>
        <w:rPr>
          <w:rFonts w:hint="eastAsia" w:ascii="宋体" w:hAnsi="宋体"/>
          <w:color w:val="auto"/>
          <w:sz w:val="24"/>
        </w:rPr>
        <w:t>或</w:t>
      </w:r>
      <w:r>
        <w:rPr>
          <w:rFonts w:ascii="宋体" w:hAnsi="宋体"/>
          <w:color w:val="auto"/>
          <w:sz w:val="24"/>
        </w:rPr>
        <w:t xml:space="preserve">服务符合招标文件要求的技术响应文件，该文件可以是文字资料、图纸和数据，并须提供货物主要技术性能或服务主要内容的详细描述。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投标文件的正本和全部副本均应使用不能擦去的墨料或墨水打印、书写或复印，并由法定代表人或其授权代表签署，盖投标人公章。</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全套投标文件应无涂改和行间插字，除非这些改动是根据采购代理机构的指示进行的，或者是为改正投标人造成的必须修改的错误而进行的。有改动时，修改处应当由法定代表人或授权代表签字证明或加盖</w:t>
      </w:r>
      <w:r>
        <w:rPr>
          <w:rFonts w:hint="eastAsia" w:ascii="宋体" w:hAnsi="宋体"/>
          <w:color w:val="auto"/>
          <w:sz w:val="24"/>
        </w:rPr>
        <w:t>投标人公章</w:t>
      </w:r>
      <w:r>
        <w:rPr>
          <w:rFonts w:ascii="宋体" w:hAnsi="宋体"/>
          <w:color w:val="auto"/>
          <w:sz w:val="24"/>
        </w:rPr>
        <w:t xml:space="preserve">。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未按本须知规定的格式填写投标文件、投标文件字迹模糊不清的，其投标可能被承担不利的评标结果。</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所有资格证明文件复印件须加盖投标人公章。</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投标人应将上述文件按顺序胶装成册、打印页码，并编列投标文件目录、资料清单，由于装订不规范或编排顺序混乱而导致投标文件被误读或漏读，该投标可能被视为无效投标或承担不利的评标结果。</w:t>
      </w:r>
    </w:p>
    <w:p>
      <w:pPr>
        <w:pStyle w:val="4"/>
        <w:spacing w:line="360" w:lineRule="auto"/>
        <w:jc w:val="center"/>
        <w:rPr>
          <w:rFonts w:ascii="宋体" w:hAnsi="宋体" w:eastAsia="宋体"/>
          <w:color w:val="auto"/>
        </w:rPr>
      </w:pPr>
      <w:bookmarkStart w:id="93" w:name="_Toc16663"/>
      <w:bookmarkStart w:id="94" w:name="_Toc398284555"/>
      <w:bookmarkStart w:id="95" w:name="_Toc10193189"/>
      <w:bookmarkStart w:id="96" w:name="_Toc398504611"/>
      <w:r>
        <w:rPr>
          <w:rFonts w:hint="eastAsia" w:ascii="宋体" w:hAnsi="宋体" w:eastAsia="宋体"/>
          <w:color w:val="auto"/>
        </w:rPr>
        <w:t>第</w:t>
      </w:r>
      <w:r>
        <w:rPr>
          <w:rFonts w:ascii="宋体" w:hAnsi="宋体" w:eastAsia="宋体"/>
          <w:color w:val="auto"/>
        </w:rPr>
        <w:t>四</w:t>
      </w:r>
      <w:r>
        <w:rPr>
          <w:rFonts w:hint="eastAsia" w:ascii="宋体" w:hAnsi="宋体" w:eastAsia="宋体"/>
          <w:color w:val="auto"/>
        </w:rPr>
        <w:t xml:space="preserve">节  </w:t>
      </w:r>
      <w:r>
        <w:rPr>
          <w:rFonts w:ascii="宋体" w:hAnsi="宋体" w:eastAsia="宋体"/>
          <w:color w:val="auto"/>
        </w:rPr>
        <w:t>投标文件的提交</w:t>
      </w:r>
      <w:bookmarkEnd w:id="93"/>
      <w:bookmarkEnd w:id="94"/>
      <w:bookmarkEnd w:id="95"/>
      <w:bookmarkEnd w:id="96"/>
    </w:p>
    <w:p>
      <w:pPr>
        <w:pStyle w:val="5"/>
        <w:numPr>
          <w:ilvl w:val="0"/>
          <w:numId w:val="6"/>
        </w:numPr>
        <w:spacing w:line="360" w:lineRule="auto"/>
        <w:rPr>
          <w:rFonts w:ascii="宋体" w:hAnsi="宋体" w:eastAsia="宋体"/>
          <w:color w:val="auto"/>
          <w:szCs w:val="21"/>
        </w:rPr>
      </w:pPr>
      <w:bookmarkStart w:id="97" w:name="_Toc398504612"/>
      <w:bookmarkStart w:id="98" w:name="_Toc398284556"/>
      <w:bookmarkStart w:id="99" w:name="_Toc25744"/>
      <w:bookmarkStart w:id="100" w:name="_Toc10193190"/>
      <w:r>
        <w:rPr>
          <w:rFonts w:ascii="宋体" w:hAnsi="宋体" w:eastAsia="宋体"/>
          <w:color w:val="auto"/>
          <w:szCs w:val="21"/>
        </w:rPr>
        <w:t>投标文件的密封、标记和</w:t>
      </w:r>
      <w:r>
        <w:rPr>
          <w:rFonts w:hint="eastAsia" w:ascii="宋体" w:hAnsi="宋体" w:eastAsia="宋体"/>
          <w:color w:val="auto"/>
          <w:szCs w:val="21"/>
        </w:rPr>
        <w:t>提</w:t>
      </w:r>
      <w:r>
        <w:rPr>
          <w:rFonts w:ascii="宋体" w:hAnsi="宋体" w:eastAsia="宋体"/>
          <w:color w:val="auto"/>
          <w:szCs w:val="21"/>
        </w:rPr>
        <w:t>交</w:t>
      </w:r>
      <w:bookmarkEnd w:id="97"/>
      <w:bookmarkEnd w:id="98"/>
      <w:bookmarkEnd w:id="99"/>
      <w:bookmarkEnd w:id="100"/>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投标人应将投标文件正本和全部副本分别用信封密封，标明招标编号、投标人名称、投标</w:t>
      </w:r>
      <w:r>
        <w:rPr>
          <w:rFonts w:hint="eastAsia" w:ascii="宋体" w:hAnsi="宋体"/>
          <w:color w:val="auto"/>
          <w:sz w:val="24"/>
        </w:rPr>
        <w:t>项目</w:t>
      </w:r>
      <w:r>
        <w:rPr>
          <w:rFonts w:ascii="宋体" w:hAnsi="宋体"/>
          <w:color w:val="auto"/>
          <w:sz w:val="24"/>
        </w:rPr>
        <w:t>名称及“正本”或“副本”字样。投标文件未密封</w:t>
      </w:r>
      <w:r>
        <w:rPr>
          <w:rFonts w:hint="eastAsia" w:ascii="宋体" w:hAnsi="宋体"/>
          <w:color w:val="auto"/>
          <w:sz w:val="24"/>
        </w:rPr>
        <w:t>的将被拒收</w:t>
      </w:r>
      <w:r>
        <w:rPr>
          <w:rFonts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每一密封处应加盖投标人公章</w:t>
      </w:r>
      <w:r>
        <w:rPr>
          <w:rFonts w:hint="eastAsia" w:ascii="宋体" w:hAnsi="宋体"/>
          <w:color w:val="auto"/>
          <w:sz w:val="24"/>
        </w:rPr>
        <w:t>或由投标人的法定代表人（单位负责人）或其授权的代理人签字。</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如果投标文件由邮局或专人送交，投标人应将投标文件按照本须知的规定进行密封和标记后，按投标人须知前附表1注明的地址送至接收人。</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如果未按上述规定进行密封和标记，招标代理机构将不承担由此造成的对投标文件的误投或提前拆封的责任。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投标人应当在招标文件要求提交投标文件的截止时间前，将投标文件送达投标地点。在提交投标文件的截止时间后送达的投标文件、以及未送达指定地点的</w:t>
      </w:r>
      <w:r>
        <w:rPr>
          <w:rFonts w:ascii="宋体" w:hAnsi="宋体"/>
          <w:color w:val="auto"/>
          <w:sz w:val="24"/>
        </w:rPr>
        <w:t>投标文件将被拒收。</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w:t>
      </w:r>
      <w:r>
        <w:rPr>
          <w:rFonts w:ascii="宋体" w:hAnsi="宋体"/>
          <w:color w:val="auto"/>
          <w:sz w:val="24"/>
        </w:rPr>
        <w:t>，</w:t>
      </w:r>
      <w:r>
        <w:rPr>
          <w:rFonts w:hint="eastAsia" w:ascii="宋体" w:hAnsi="宋体"/>
          <w:color w:val="auto"/>
          <w:sz w:val="24"/>
        </w:rPr>
        <w:t>可以补充、修改或者撤回已提交的投标文件，并书面通知招标人。补充、修改的内容为投标文件的组成部分。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提交投标文件的截止时间前补充、修改</w:t>
      </w:r>
      <w:r>
        <w:rPr>
          <w:rFonts w:ascii="宋体" w:hAnsi="宋体"/>
          <w:color w:val="auto"/>
          <w:sz w:val="24"/>
        </w:rPr>
        <w:t>投标文件的，补充</w:t>
      </w:r>
      <w:r>
        <w:rPr>
          <w:rFonts w:hint="eastAsia" w:ascii="宋体" w:hAnsi="宋体"/>
          <w:color w:val="auto"/>
          <w:sz w:val="24"/>
        </w:rPr>
        <w:t>、</w:t>
      </w:r>
      <w:r>
        <w:rPr>
          <w:rFonts w:ascii="宋体" w:hAnsi="宋体"/>
          <w:color w:val="auto"/>
          <w:sz w:val="24"/>
        </w:rPr>
        <w:t>修改的内容应当按本须知要求</w:t>
      </w:r>
      <w:r>
        <w:rPr>
          <w:rFonts w:hint="eastAsia" w:ascii="宋体" w:hAnsi="宋体"/>
          <w:color w:val="auto"/>
          <w:sz w:val="24"/>
        </w:rPr>
        <w:t>编制、</w:t>
      </w:r>
      <w:r>
        <w:rPr>
          <w:rFonts w:ascii="宋体" w:hAnsi="宋体"/>
          <w:color w:val="auto"/>
          <w:sz w:val="24"/>
        </w:rPr>
        <w:t>签署、盖章、密封</w:t>
      </w:r>
      <w:r>
        <w:rPr>
          <w:rFonts w:hint="eastAsia" w:ascii="宋体" w:hAnsi="宋体"/>
          <w:color w:val="auto"/>
          <w:sz w:val="24"/>
        </w:rPr>
        <w:t>、标记、提交、标明“修改”字样，并</w:t>
      </w:r>
      <w:r>
        <w:rPr>
          <w:rFonts w:ascii="宋体" w:hAnsi="宋体"/>
          <w:color w:val="auto"/>
          <w:sz w:val="24"/>
        </w:rPr>
        <w:t>作为投标文件的组成部分。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提交投标文件的截止时间前</w:t>
      </w:r>
      <w:r>
        <w:rPr>
          <w:rFonts w:ascii="宋体" w:hAnsi="宋体"/>
          <w:color w:val="auto"/>
          <w:sz w:val="24"/>
        </w:rPr>
        <w:t>撤回投标文件的，</w:t>
      </w:r>
      <w:r>
        <w:rPr>
          <w:rFonts w:hint="eastAsia" w:ascii="宋体" w:hAnsi="宋体"/>
          <w:color w:val="auto"/>
          <w:sz w:val="24"/>
        </w:rPr>
        <w:t>招标代理机构</w:t>
      </w:r>
      <w:r>
        <w:rPr>
          <w:rFonts w:ascii="宋体" w:hAnsi="宋体"/>
          <w:color w:val="auto"/>
          <w:sz w:val="24"/>
        </w:rPr>
        <w:t>自收到投标人书面撤回通知之日起 5 日内退还已收取的投标保证金。</w:t>
      </w:r>
      <w:r>
        <w:rPr>
          <w:rFonts w:hint="eastAsia" w:ascii="宋体" w:hAnsi="宋体"/>
          <w:color w:val="auto"/>
          <w:sz w:val="24"/>
        </w:rPr>
        <w:t>投标截止后投标人撤销投标文件的，招标人可以不退还投标保证金。</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投标人在</w:t>
      </w:r>
      <w:r>
        <w:rPr>
          <w:rFonts w:hint="eastAsia" w:ascii="宋体" w:hAnsi="宋体"/>
          <w:color w:val="auto"/>
          <w:sz w:val="24"/>
        </w:rPr>
        <w:t>提交投标文件的截止时间</w:t>
      </w:r>
      <w:r>
        <w:rPr>
          <w:rFonts w:ascii="宋体" w:hAnsi="宋体"/>
          <w:color w:val="auto"/>
          <w:sz w:val="24"/>
        </w:rPr>
        <w:t>后不得补充</w:t>
      </w:r>
      <w:r>
        <w:rPr>
          <w:rFonts w:hint="eastAsia" w:ascii="宋体" w:hAnsi="宋体"/>
          <w:color w:val="auto"/>
          <w:sz w:val="24"/>
        </w:rPr>
        <w:t>、</w:t>
      </w:r>
      <w:r>
        <w:rPr>
          <w:rFonts w:ascii="宋体" w:hAnsi="宋体"/>
          <w:color w:val="auto"/>
          <w:sz w:val="24"/>
        </w:rPr>
        <w:t>修改、撤回投标文件。投标人在投标截止时间后补充</w:t>
      </w:r>
      <w:r>
        <w:rPr>
          <w:rFonts w:hint="eastAsia" w:ascii="宋体" w:hAnsi="宋体"/>
          <w:color w:val="auto"/>
          <w:sz w:val="24"/>
        </w:rPr>
        <w:t>、</w:t>
      </w:r>
      <w:r>
        <w:rPr>
          <w:rFonts w:ascii="宋体" w:hAnsi="宋体"/>
          <w:color w:val="auto"/>
          <w:sz w:val="24"/>
        </w:rPr>
        <w:t>修改</w:t>
      </w:r>
      <w:r>
        <w:rPr>
          <w:rFonts w:hint="eastAsia" w:ascii="宋体" w:hAnsi="宋体"/>
          <w:color w:val="auto"/>
          <w:sz w:val="24"/>
        </w:rPr>
        <w:t>、</w:t>
      </w:r>
      <w:r>
        <w:rPr>
          <w:rFonts w:ascii="宋体" w:hAnsi="宋体"/>
          <w:color w:val="auto"/>
          <w:sz w:val="24"/>
        </w:rPr>
        <w:t>撤回投标文件的，其投标将被拒绝。</w:t>
      </w:r>
    </w:p>
    <w:p>
      <w:pPr>
        <w:numPr>
          <w:ilvl w:val="1"/>
          <w:numId w:val="6"/>
        </w:numPr>
        <w:tabs>
          <w:tab w:val="left" w:pos="1134"/>
          <w:tab w:val="clear" w:pos="4084"/>
        </w:tabs>
        <w:spacing w:line="360" w:lineRule="auto"/>
        <w:ind w:left="-141" w:firstLine="480"/>
        <w:rPr>
          <w:rFonts w:ascii="宋体" w:hAnsi="宋体"/>
          <w:color w:val="auto"/>
          <w:sz w:val="24"/>
        </w:rPr>
      </w:pPr>
      <w:r>
        <w:rPr>
          <w:rFonts w:ascii="宋体" w:hAnsi="宋体"/>
          <w:color w:val="auto"/>
          <w:sz w:val="24"/>
        </w:rPr>
        <w:t>投标截止时间结束后</w:t>
      </w:r>
      <w:r>
        <w:rPr>
          <w:rFonts w:hint="eastAsia" w:ascii="宋体" w:hAnsi="宋体"/>
          <w:color w:val="auto"/>
          <w:sz w:val="24"/>
        </w:rPr>
        <w:t>提交</w:t>
      </w:r>
      <w:r>
        <w:rPr>
          <w:rFonts w:ascii="宋体" w:hAnsi="宋体"/>
          <w:color w:val="auto"/>
          <w:sz w:val="24"/>
        </w:rPr>
        <w:t>投标文件的投标人不足3家的，本次招标程序终止，除采购任务取消情形外，招标</w:t>
      </w:r>
      <w:r>
        <w:rPr>
          <w:rFonts w:hint="eastAsia" w:ascii="宋体" w:hAnsi="宋体"/>
          <w:color w:val="auto"/>
          <w:sz w:val="24"/>
        </w:rPr>
        <w:t>人</w:t>
      </w:r>
      <w:r>
        <w:rPr>
          <w:rFonts w:ascii="宋体" w:hAnsi="宋体"/>
          <w:color w:val="auto"/>
          <w:sz w:val="24"/>
        </w:rPr>
        <w:t>将依法重新组织招标或者采取其他方式采购。</w:t>
      </w:r>
    </w:p>
    <w:p>
      <w:pPr>
        <w:pStyle w:val="4"/>
        <w:spacing w:line="360" w:lineRule="auto"/>
        <w:jc w:val="center"/>
        <w:rPr>
          <w:rFonts w:ascii="宋体" w:hAnsi="宋体" w:eastAsia="宋体"/>
          <w:color w:val="auto"/>
        </w:rPr>
      </w:pPr>
      <w:bookmarkStart w:id="101" w:name="_Toc10193191"/>
      <w:bookmarkStart w:id="102" w:name="_Toc398504613"/>
      <w:bookmarkStart w:id="103" w:name="_Toc14837"/>
      <w:bookmarkStart w:id="104" w:name="_Toc398284557"/>
      <w:r>
        <w:rPr>
          <w:rFonts w:hint="eastAsia" w:ascii="宋体" w:hAnsi="宋体" w:eastAsia="宋体"/>
          <w:color w:val="auto"/>
        </w:rPr>
        <w:t>第</w:t>
      </w:r>
      <w:r>
        <w:rPr>
          <w:rFonts w:ascii="宋体" w:hAnsi="宋体" w:eastAsia="宋体"/>
          <w:color w:val="auto"/>
        </w:rPr>
        <w:t>五</w:t>
      </w:r>
      <w:r>
        <w:rPr>
          <w:rFonts w:hint="eastAsia" w:ascii="宋体" w:hAnsi="宋体" w:eastAsia="宋体"/>
          <w:color w:val="auto"/>
        </w:rPr>
        <w:t xml:space="preserve">节  </w:t>
      </w:r>
      <w:r>
        <w:rPr>
          <w:rFonts w:ascii="宋体" w:hAnsi="宋体" w:eastAsia="宋体"/>
          <w:color w:val="auto"/>
        </w:rPr>
        <w:t>投标文件的评估和比较</w:t>
      </w:r>
      <w:bookmarkEnd w:id="101"/>
      <w:bookmarkEnd w:id="102"/>
      <w:bookmarkEnd w:id="103"/>
      <w:bookmarkEnd w:id="104"/>
    </w:p>
    <w:p>
      <w:pPr>
        <w:pStyle w:val="5"/>
        <w:numPr>
          <w:ilvl w:val="0"/>
          <w:numId w:val="6"/>
        </w:numPr>
        <w:spacing w:line="360" w:lineRule="auto"/>
        <w:rPr>
          <w:rFonts w:ascii="宋体" w:hAnsi="宋体" w:eastAsia="宋体"/>
          <w:color w:val="auto"/>
          <w:szCs w:val="21"/>
        </w:rPr>
      </w:pPr>
      <w:bookmarkStart w:id="105" w:name="_Toc398284558"/>
      <w:bookmarkStart w:id="106" w:name="_Toc398504614"/>
      <w:bookmarkStart w:id="107" w:name="_Toc10193192"/>
      <w:bookmarkStart w:id="108" w:name="_Toc25609"/>
      <w:r>
        <w:rPr>
          <w:rFonts w:ascii="宋体" w:hAnsi="宋体" w:eastAsia="宋体"/>
          <w:color w:val="auto"/>
          <w:szCs w:val="21"/>
        </w:rPr>
        <w:t>开标、评标时间</w:t>
      </w:r>
      <w:bookmarkEnd w:id="105"/>
      <w:bookmarkEnd w:id="106"/>
      <w:bookmarkEnd w:id="107"/>
      <w:bookmarkEnd w:id="108"/>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在</w:t>
      </w:r>
      <w:r>
        <w:rPr>
          <w:rFonts w:hint="eastAsia" w:ascii="宋体" w:hAnsi="宋体"/>
          <w:color w:val="auto"/>
          <w:sz w:val="24"/>
        </w:rPr>
        <w:t>《</w:t>
      </w:r>
      <w:r>
        <w:rPr>
          <w:rFonts w:ascii="宋体" w:hAnsi="宋体"/>
          <w:color w:val="auto"/>
          <w:sz w:val="24"/>
        </w:rPr>
        <w:t>投标人须知前附表1</w:t>
      </w:r>
      <w:r>
        <w:rPr>
          <w:rFonts w:hint="eastAsia" w:ascii="宋体" w:hAnsi="宋体"/>
          <w:color w:val="auto"/>
          <w:sz w:val="24"/>
        </w:rPr>
        <w:t>》</w:t>
      </w:r>
      <w:r>
        <w:rPr>
          <w:rFonts w:ascii="宋体" w:hAnsi="宋体"/>
          <w:color w:val="auto"/>
          <w:sz w:val="24"/>
        </w:rPr>
        <w:t>中所规定的时间、地点开标（如有推迟情形，以推迟后的时间、地点为准）。</w:t>
      </w:r>
      <w:r>
        <w:rPr>
          <w:rFonts w:hint="eastAsia" w:ascii="宋体" w:hAnsi="宋体"/>
          <w:color w:val="auto"/>
          <w:sz w:val="24"/>
        </w:rPr>
        <w:t>投标人少于3个的，不得开标。</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开标由招标代理机构主持，邀请</w:t>
      </w:r>
      <w:r>
        <w:rPr>
          <w:rFonts w:hint="eastAsia" w:ascii="宋体" w:hAnsi="宋体"/>
          <w:color w:val="auto"/>
          <w:sz w:val="24"/>
        </w:rPr>
        <w:t>所有</w:t>
      </w:r>
      <w:r>
        <w:rPr>
          <w:rFonts w:ascii="宋体" w:hAnsi="宋体"/>
          <w:color w:val="auto"/>
          <w:sz w:val="24"/>
        </w:rPr>
        <w:t>投标人参加。投标人一般应派</w:t>
      </w:r>
      <w:r>
        <w:rPr>
          <w:rFonts w:hint="eastAsia" w:ascii="宋体" w:hAnsi="宋体"/>
          <w:color w:val="auto"/>
          <w:sz w:val="24"/>
        </w:rPr>
        <w:t>法定代表人（单位负责人）或</w:t>
      </w:r>
      <w:r>
        <w:rPr>
          <w:rFonts w:ascii="宋体" w:hAnsi="宋体"/>
          <w:color w:val="auto"/>
          <w:sz w:val="24"/>
        </w:rPr>
        <w:t>授权代表</w:t>
      </w:r>
      <w:r>
        <w:rPr>
          <w:rFonts w:hint="eastAsia" w:ascii="宋体" w:hAnsi="宋体"/>
          <w:color w:val="auto"/>
          <w:sz w:val="24"/>
        </w:rPr>
        <w:t>准时</w:t>
      </w:r>
      <w:r>
        <w:rPr>
          <w:rFonts w:ascii="宋体" w:hAnsi="宋体"/>
          <w:color w:val="auto"/>
          <w:sz w:val="24"/>
        </w:rPr>
        <w:t>参加开标会，并办理签到手续</w:t>
      </w:r>
      <w:r>
        <w:rPr>
          <w:rFonts w:hint="eastAsia" w:ascii="宋体" w:hAnsi="宋体"/>
          <w:color w:val="auto"/>
          <w:sz w:val="24"/>
        </w:rPr>
        <w:t>，投标人未参加开标的，视同认可开标结果</w:t>
      </w:r>
      <w:r>
        <w:rPr>
          <w:rFonts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在提交投标文件的截止时间前收到的所有投标文件，开标时都应当当众予以拆封、宣读。</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开标时，由投标人或者其推选的代表检查投标文件的密封情况，经确认无误后，由工作人员当众拆封，宣读投标人名称、投标价格和投标文件的其他主要内容。招标</w:t>
      </w:r>
      <w:r>
        <w:rPr>
          <w:rFonts w:ascii="宋体" w:hAnsi="宋体"/>
          <w:color w:val="auto"/>
          <w:sz w:val="24"/>
        </w:rPr>
        <w:t>代理机构对唱标内容作开标记录，由投标人代表及相关人员签字确认。</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投标人对开标有异议的，应当在开标现场提出。</w:t>
      </w:r>
    </w:p>
    <w:p>
      <w:pPr>
        <w:pStyle w:val="5"/>
        <w:numPr>
          <w:ilvl w:val="0"/>
          <w:numId w:val="6"/>
        </w:numPr>
        <w:spacing w:line="360" w:lineRule="auto"/>
        <w:rPr>
          <w:rFonts w:ascii="宋体" w:hAnsi="宋体" w:eastAsia="宋体"/>
          <w:color w:val="auto"/>
          <w:szCs w:val="21"/>
        </w:rPr>
      </w:pPr>
      <w:bookmarkStart w:id="109" w:name="_Toc27122"/>
      <w:bookmarkStart w:id="110" w:name="_Toc398284559"/>
      <w:bookmarkStart w:id="111" w:name="_Toc398504615"/>
      <w:bookmarkStart w:id="112" w:name="_Toc10193193"/>
      <w:r>
        <w:rPr>
          <w:rFonts w:ascii="宋体" w:hAnsi="宋体" w:eastAsia="宋体"/>
          <w:color w:val="auto"/>
          <w:szCs w:val="21"/>
        </w:rPr>
        <w:t>评标委员会</w:t>
      </w:r>
      <w:bookmarkEnd w:id="109"/>
      <w:bookmarkEnd w:id="110"/>
      <w:bookmarkEnd w:id="111"/>
      <w:bookmarkEnd w:id="112"/>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招标代理机构根据招标</w:t>
      </w:r>
      <w:r>
        <w:rPr>
          <w:rFonts w:hint="eastAsia" w:ascii="宋体" w:hAnsi="宋体"/>
          <w:color w:val="auto"/>
          <w:sz w:val="24"/>
        </w:rPr>
        <w:t>项目</w:t>
      </w:r>
      <w:r>
        <w:rPr>
          <w:rFonts w:ascii="宋体" w:hAnsi="宋体"/>
          <w:color w:val="auto"/>
          <w:sz w:val="24"/>
        </w:rPr>
        <w:t>的特点依法组建评标委员会。</w:t>
      </w:r>
      <w:r>
        <w:rPr>
          <w:rFonts w:hint="eastAsia" w:ascii="宋体" w:hAnsi="宋体"/>
          <w:color w:val="auto"/>
          <w:sz w:val="24"/>
        </w:rPr>
        <w:t>评标委员会由招标人的代表和</w:t>
      </w:r>
      <w:r>
        <w:rPr>
          <w:rFonts w:hint="eastAsia" w:ascii="宋体" w:hAnsi="宋体"/>
          <w:color w:val="auto"/>
          <w:sz w:val="24"/>
          <w:lang w:eastAsia="zh-CN"/>
        </w:rPr>
        <w:t>（</w:t>
      </w:r>
      <w:r>
        <w:rPr>
          <w:rFonts w:hint="eastAsia" w:ascii="宋体" w:hAnsi="宋体"/>
          <w:color w:val="auto"/>
          <w:sz w:val="24"/>
          <w:lang w:val="en-US" w:eastAsia="zh-CN"/>
        </w:rPr>
        <w:t>或</w:t>
      </w:r>
      <w:r>
        <w:rPr>
          <w:rFonts w:hint="eastAsia" w:ascii="宋体" w:hAnsi="宋体"/>
          <w:color w:val="auto"/>
          <w:sz w:val="24"/>
          <w:lang w:eastAsia="zh-CN"/>
        </w:rPr>
        <w:t>）</w:t>
      </w:r>
      <w:r>
        <w:rPr>
          <w:rFonts w:hint="eastAsia" w:ascii="宋体" w:hAnsi="宋体"/>
          <w:color w:val="auto"/>
          <w:sz w:val="24"/>
        </w:rPr>
        <w:t>有关技术、经济等方面的专家组成，成员人数为五人以上单数，其中技术、经济等方面的专家不得少于成员总数的三分之二。</w:t>
      </w:r>
    </w:p>
    <w:p>
      <w:pPr>
        <w:pStyle w:val="5"/>
        <w:numPr>
          <w:ilvl w:val="0"/>
          <w:numId w:val="6"/>
        </w:numPr>
        <w:spacing w:line="360" w:lineRule="auto"/>
        <w:rPr>
          <w:rFonts w:ascii="宋体" w:hAnsi="宋体" w:eastAsia="宋体"/>
          <w:color w:val="auto"/>
          <w:szCs w:val="21"/>
        </w:rPr>
      </w:pPr>
      <w:bookmarkStart w:id="113" w:name="_Toc398504616"/>
      <w:bookmarkStart w:id="114" w:name="_Toc398284560"/>
      <w:bookmarkStart w:id="115" w:name="_Toc763"/>
      <w:bookmarkStart w:id="116" w:name="_Toc10193194"/>
      <w:r>
        <w:rPr>
          <w:rFonts w:ascii="宋体" w:hAnsi="宋体" w:eastAsia="宋体"/>
          <w:color w:val="auto"/>
          <w:szCs w:val="21"/>
        </w:rPr>
        <w:t>投标文件的初审</w:t>
      </w:r>
      <w:bookmarkEnd w:id="113"/>
      <w:bookmarkEnd w:id="114"/>
      <w:bookmarkEnd w:id="115"/>
      <w:bookmarkEnd w:id="116"/>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对所有投标人的</w:t>
      </w:r>
      <w:r>
        <w:rPr>
          <w:rFonts w:hint="eastAsia" w:ascii="宋体" w:hAnsi="宋体"/>
          <w:color w:val="auto"/>
          <w:sz w:val="24"/>
        </w:rPr>
        <w:t>审查、澄清、比较和评价</w:t>
      </w:r>
      <w:r>
        <w:rPr>
          <w:rFonts w:ascii="宋体" w:hAnsi="宋体"/>
          <w:color w:val="auto"/>
          <w:sz w:val="24"/>
        </w:rPr>
        <w:t>，都采用相同的程序和标准。</w:t>
      </w:r>
      <w:r>
        <w:rPr>
          <w:rFonts w:hint="eastAsia" w:ascii="宋体" w:hAnsi="宋体"/>
          <w:color w:val="auto"/>
          <w:sz w:val="24"/>
        </w:rPr>
        <w:t>审查、澄清、比较和评价</w:t>
      </w:r>
      <w:r>
        <w:rPr>
          <w:rFonts w:ascii="宋体" w:hAnsi="宋体"/>
          <w:color w:val="auto"/>
          <w:sz w:val="24"/>
        </w:rPr>
        <w:t>过程将严格按照招标文件的</w:t>
      </w:r>
      <w:r>
        <w:rPr>
          <w:rFonts w:hint="eastAsia" w:ascii="宋体" w:hAnsi="宋体"/>
          <w:color w:val="auto"/>
          <w:sz w:val="24"/>
        </w:rPr>
        <w:t>方法</w:t>
      </w:r>
      <w:r>
        <w:rPr>
          <w:rFonts w:ascii="宋体" w:hAnsi="宋体"/>
          <w:color w:val="auto"/>
          <w:sz w:val="24"/>
        </w:rPr>
        <w:t>和</w:t>
      </w:r>
      <w:r>
        <w:rPr>
          <w:rFonts w:hint="eastAsia" w:ascii="宋体" w:hAnsi="宋体"/>
          <w:color w:val="auto"/>
          <w:sz w:val="24"/>
        </w:rPr>
        <w:t>标准</w:t>
      </w:r>
      <w:r>
        <w:rPr>
          <w:rFonts w:ascii="宋体" w:hAnsi="宋体"/>
          <w:color w:val="auto"/>
          <w:sz w:val="24"/>
        </w:rPr>
        <w:t>进行。</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有关投标文件的审查、澄清、评估和比较以及推荐中标候选人的一切情况都不得透露给任</w:t>
      </w:r>
      <w:r>
        <w:rPr>
          <w:rFonts w:hint="eastAsia" w:ascii="宋体" w:hAnsi="宋体"/>
          <w:color w:val="auto"/>
          <w:sz w:val="24"/>
        </w:rPr>
        <w:t>一</w:t>
      </w:r>
      <w:r>
        <w:rPr>
          <w:rFonts w:ascii="宋体" w:hAnsi="宋体"/>
          <w:color w:val="auto"/>
          <w:sz w:val="24"/>
        </w:rPr>
        <w:t>投标人或与上述评标工作无关的人员。</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投标人任何试图影响评委会对投标文件的评估、比较或者推荐候选人的行为，都将导致其投标被拒绝，并被没收投标保证金。</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 xml:space="preserve">评委会将对投标文件进行审查，以确定投标文件是否完整、有无计算上的错误、是否提交了投标保证金、文件是否已正确签署。 </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投标文件报价出现前后不一致的，除招标文件另有规定外，按照下列规定修正：</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投标文件中开标一览表（报价表）内容与投标文件中相应内容不一致的，以开标一览表（报价表）为准；</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大写金额和小写金额不一致的，以大写金额为准；</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单价金额小数点或者百分比有明显错位的，以开标一览表的总价为准，并修改单价；</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总价金额与按单价汇总金额不一致的，以单价金额计算结果为准。</w:t>
      </w:r>
    </w:p>
    <w:p>
      <w:pPr>
        <w:spacing w:line="360" w:lineRule="auto"/>
        <w:ind w:firstLine="480" w:firstLineChars="200"/>
        <w:rPr>
          <w:rFonts w:ascii="宋体" w:hAnsi="宋体"/>
          <w:color w:val="auto"/>
          <w:sz w:val="24"/>
        </w:rPr>
      </w:pPr>
      <w:r>
        <w:rPr>
          <w:rFonts w:hint="eastAsia" w:ascii="宋体" w:hAnsi="宋体"/>
          <w:color w:val="auto"/>
          <w:sz w:val="24"/>
        </w:rPr>
        <w:t>同时出现两种以上不一致的，按照前款规定的顺序修正。修正后的报价经投标人确认后产生约束力，投标人不确认的，其投标无效，且投标保证金不予退还。</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资格性检查和符合性检查</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ascii="宋体" w:hAnsi="宋体"/>
          <w:color w:val="auto"/>
          <w:sz w:val="24"/>
        </w:rPr>
        <w:t>资格性检查。依据法律法规和招标文件的规定，在对投标文件详细评估之前，评标委员会将依据投标人提交的投标文件按</w:t>
      </w:r>
      <w:r>
        <w:rPr>
          <w:rFonts w:hint="eastAsia" w:ascii="宋体" w:hAnsi="宋体"/>
          <w:color w:val="auto"/>
          <w:sz w:val="24"/>
        </w:rPr>
        <w:t>《</w:t>
      </w:r>
      <w:r>
        <w:rPr>
          <w:rFonts w:ascii="宋体" w:hAnsi="宋体"/>
          <w:color w:val="auto"/>
          <w:sz w:val="24"/>
        </w:rPr>
        <w:t>投标人须知前附表2</w:t>
      </w:r>
      <w:r>
        <w:rPr>
          <w:rFonts w:hint="eastAsia" w:ascii="宋体" w:hAnsi="宋体"/>
          <w:color w:val="auto"/>
          <w:sz w:val="24"/>
        </w:rPr>
        <w:t>》</w:t>
      </w:r>
      <w:r>
        <w:rPr>
          <w:rFonts w:ascii="宋体" w:hAnsi="宋体"/>
          <w:color w:val="auto"/>
          <w:sz w:val="24"/>
        </w:rPr>
        <w:t>所述的</w:t>
      </w:r>
      <w:r>
        <w:rPr>
          <w:rFonts w:hint="eastAsia" w:ascii="宋体" w:hAnsi="宋体"/>
          <w:color w:val="auto"/>
          <w:sz w:val="24"/>
        </w:rPr>
        <w:t>资格性要求</w:t>
      </w:r>
      <w:r>
        <w:rPr>
          <w:rFonts w:ascii="宋体" w:hAnsi="宋体"/>
          <w:color w:val="auto"/>
          <w:sz w:val="24"/>
        </w:rPr>
        <w:t>对投标人进行资格审查，以确定其是否具备投标资格。如果投标人不具备投标资格，不满足招标文件所规定的资格标准或提供资格证明文件不全的，其投标将被拒绝。</w:t>
      </w:r>
    </w:p>
    <w:p>
      <w:pPr>
        <w:numPr>
          <w:ilvl w:val="2"/>
          <w:numId w:val="6"/>
        </w:numPr>
        <w:tabs>
          <w:tab w:val="left" w:pos="964"/>
          <w:tab w:val="left" w:pos="1418"/>
          <w:tab w:val="clear" w:pos="1533"/>
        </w:tabs>
        <w:spacing w:line="360" w:lineRule="auto"/>
        <w:ind w:left="0" w:firstLine="480" w:firstLineChars="200"/>
        <w:rPr>
          <w:rFonts w:ascii="宋体" w:hAnsi="宋体"/>
          <w:color w:val="auto"/>
          <w:sz w:val="24"/>
        </w:rPr>
      </w:pPr>
      <w:r>
        <w:rPr>
          <w:rFonts w:hint="eastAsia" w:ascii="宋体" w:hAnsi="宋体"/>
          <w:color w:val="auto"/>
          <w:sz w:val="24"/>
        </w:rPr>
        <w:t>符合性检查。依据招标文件的规定，评标委员会还将从投标文件的有效性、完整性和对招标文件的响应程度进行审查，以确定是否符合对招标文件的实质性要求作出响应。评标委员会将依据投标人提交的投标文件按《投标人须知前附表2》所述的符合性要求对投标人进行审查，对没有实质性响应的投标文件将不进行评估，其投标将被作为无效投标处理。</w:t>
      </w:r>
    </w:p>
    <w:p>
      <w:pPr>
        <w:spacing w:line="360" w:lineRule="auto"/>
        <w:ind w:firstLine="480" w:firstLineChars="200"/>
        <w:rPr>
          <w:rFonts w:ascii="宋体" w:hAnsi="宋体"/>
          <w:color w:val="auto"/>
          <w:sz w:val="24"/>
        </w:rPr>
      </w:pPr>
      <w:r>
        <w:rPr>
          <w:rFonts w:hint="eastAsia" w:ascii="宋体" w:hAnsi="宋体"/>
          <w:color w:val="auto"/>
          <w:sz w:val="24"/>
        </w:rPr>
        <w:t>评标委员会确定投标的响应性，只根据投标文件本身的内容，而不寻求其他的外部证据。</w:t>
      </w:r>
    </w:p>
    <w:p>
      <w:pPr>
        <w:pStyle w:val="5"/>
        <w:numPr>
          <w:ilvl w:val="0"/>
          <w:numId w:val="6"/>
        </w:numPr>
        <w:spacing w:line="360" w:lineRule="auto"/>
        <w:rPr>
          <w:rFonts w:ascii="宋体" w:hAnsi="宋体" w:eastAsia="宋体"/>
          <w:color w:val="auto"/>
          <w:szCs w:val="21"/>
        </w:rPr>
      </w:pPr>
      <w:bookmarkStart w:id="117" w:name="_Toc20995"/>
      <w:bookmarkStart w:id="118" w:name="_Toc398284561"/>
      <w:bookmarkStart w:id="119" w:name="_Toc10193195"/>
      <w:bookmarkStart w:id="120" w:name="_Toc398504617"/>
      <w:r>
        <w:rPr>
          <w:rFonts w:ascii="宋体" w:hAnsi="宋体" w:eastAsia="宋体"/>
          <w:color w:val="auto"/>
          <w:szCs w:val="21"/>
        </w:rPr>
        <w:t>投标文件的澄清</w:t>
      </w:r>
      <w:bookmarkEnd w:id="117"/>
      <w:bookmarkEnd w:id="118"/>
      <w:bookmarkEnd w:id="119"/>
      <w:bookmarkEnd w:id="120"/>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投标文件中有含义不明确的内容、明显文字或者计算错误，评标委员会认为需要投标人作出必要澄清、说明的，应当书面通知该投标人。</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投标人的澄清、说明应当</w:t>
      </w:r>
      <w:r>
        <w:rPr>
          <w:rFonts w:ascii="宋体" w:hAnsi="宋体"/>
          <w:color w:val="auto"/>
          <w:sz w:val="24"/>
        </w:rPr>
        <w:t>在评标委员会规定的时间内以书面形式作出</w:t>
      </w:r>
      <w:r>
        <w:rPr>
          <w:rFonts w:hint="eastAsia" w:ascii="宋体" w:hAnsi="宋体"/>
          <w:color w:val="auto"/>
          <w:sz w:val="24"/>
        </w:rPr>
        <w:t>，</w:t>
      </w:r>
      <w:r>
        <w:rPr>
          <w:rFonts w:ascii="宋体" w:hAnsi="宋体"/>
          <w:color w:val="auto"/>
          <w:sz w:val="24"/>
        </w:rPr>
        <w:t>由其法定代表人或者授权代表签字。</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澄清、说明或补正不得超出投标文件的范围且不得改变投标文件的实质性内容，并构成投标文件的组成部分。</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评标委员会不接受投标人主动提出的澄清、说明。</w:t>
      </w:r>
    </w:p>
    <w:p>
      <w:pPr>
        <w:pStyle w:val="5"/>
        <w:numPr>
          <w:ilvl w:val="0"/>
          <w:numId w:val="6"/>
        </w:numPr>
        <w:spacing w:line="360" w:lineRule="auto"/>
        <w:rPr>
          <w:rFonts w:ascii="宋体" w:hAnsi="宋体" w:eastAsia="宋体"/>
          <w:color w:val="auto"/>
          <w:szCs w:val="21"/>
        </w:rPr>
      </w:pPr>
      <w:bookmarkStart w:id="121" w:name="_Toc398284562"/>
      <w:bookmarkStart w:id="122" w:name="_Toc10193196"/>
      <w:bookmarkStart w:id="123" w:name="_Toc1838"/>
      <w:bookmarkStart w:id="124" w:name="_Toc398504618"/>
      <w:r>
        <w:rPr>
          <w:rFonts w:ascii="宋体" w:hAnsi="宋体" w:eastAsia="宋体"/>
          <w:color w:val="auto"/>
          <w:szCs w:val="21"/>
        </w:rPr>
        <w:t>比较与评价</w:t>
      </w:r>
      <w:bookmarkEnd w:id="121"/>
      <w:bookmarkEnd w:id="122"/>
      <w:bookmarkEnd w:id="123"/>
      <w:bookmarkEnd w:id="124"/>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评标委员会将按</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所述评标方法与标准，对资格性检查和符合性检查合格的投标文件进行商务和技术评估，综合比较与评价。</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评标委员会经评审，认为所有投标都不符合招标文件要求的，可以否决所有投标。</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对漏（缺）报项的处理：招标文件中要求列入报价的费用（含配置、功能），漏（缺）报的视同已含在投标总价中</w:t>
      </w:r>
      <w:r>
        <w:rPr>
          <w:rFonts w:hint="eastAsia" w:ascii="宋体" w:hAnsi="宋体"/>
          <w:color w:val="auto"/>
          <w:sz w:val="24"/>
        </w:rPr>
        <w:t>，</w:t>
      </w:r>
      <w:r>
        <w:rPr>
          <w:rFonts w:ascii="宋体" w:hAnsi="宋体"/>
          <w:color w:val="auto"/>
          <w:sz w:val="24"/>
        </w:rPr>
        <w:t>但在评标时取有效投标人该项最高报价加入漏（缺）报人的评标价进行评标。对多报项及赠送项的价格评标时不予核减，全部进入评标价评议。</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color w:val="auto"/>
          <w:sz w:val="24"/>
        </w:rPr>
        <w:t>。</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评标委员会将按比较与评价最优在先原则，排列评价顺序，根据在</w:t>
      </w:r>
      <w:r>
        <w:rPr>
          <w:rFonts w:hint="eastAsia" w:ascii="宋体" w:hAnsi="宋体"/>
          <w:color w:val="auto"/>
          <w:sz w:val="24"/>
        </w:rPr>
        <w:t>《</w:t>
      </w:r>
      <w:r>
        <w:rPr>
          <w:rFonts w:ascii="宋体" w:hAnsi="宋体"/>
          <w:color w:val="auto"/>
          <w:sz w:val="24"/>
        </w:rPr>
        <w:t>投标人须知前附表3</w:t>
      </w:r>
      <w:r>
        <w:rPr>
          <w:rFonts w:hint="eastAsia" w:ascii="宋体" w:hAnsi="宋体"/>
          <w:color w:val="auto"/>
          <w:sz w:val="24"/>
        </w:rPr>
        <w:t>》</w:t>
      </w:r>
      <w:r>
        <w:rPr>
          <w:rFonts w:ascii="宋体" w:hAnsi="宋体"/>
          <w:color w:val="auto"/>
          <w:sz w:val="24"/>
        </w:rPr>
        <w:t>中确定的中标候选人数量推荐出中标候选人。</w:t>
      </w:r>
    </w:p>
    <w:p>
      <w:pPr>
        <w:pStyle w:val="4"/>
        <w:spacing w:line="360" w:lineRule="auto"/>
        <w:jc w:val="center"/>
        <w:rPr>
          <w:rFonts w:ascii="宋体" w:hAnsi="宋体" w:eastAsia="宋体"/>
          <w:color w:val="auto"/>
        </w:rPr>
      </w:pPr>
      <w:bookmarkStart w:id="125" w:name="_Toc28373"/>
      <w:bookmarkStart w:id="126" w:name="_Toc398284563"/>
      <w:bookmarkStart w:id="127" w:name="_Toc398504619"/>
      <w:bookmarkStart w:id="128" w:name="_Toc10193197"/>
      <w:r>
        <w:rPr>
          <w:rFonts w:hint="eastAsia" w:ascii="宋体" w:hAnsi="宋体" w:eastAsia="宋体"/>
          <w:color w:val="auto"/>
        </w:rPr>
        <w:t>第</w:t>
      </w:r>
      <w:r>
        <w:rPr>
          <w:rFonts w:ascii="宋体" w:hAnsi="宋体" w:eastAsia="宋体"/>
          <w:color w:val="auto"/>
        </w:rPr>
        <w:t>六</w:t>
      </w:r>
      <w:r>
        <w:rPr>
          <w:rFonts w:hint="eastAsia" w:ascii="宋体" w:hAnsi="宋体" w:eastAsia="宋体"/>
          <w:color w:val="auto"/>
        </w:rPr>
        <w:t xml:space="preserve">节  </w:t>
      </w:r>
      <w:r>
        <w:rPr>
          <w:rFonts w:ascii="宋体" w:hAnsi="宋体" w:eastAsia="宋体"/>
          <w:color w:val="auto"/>
        </w:rPr>
        <w:t>定标与签订合同</w:t>
      </w:r>
      <w:bookmarkEnd w:id="125"/>
      <w:bookmarkEnd w:id="126"/>
      <w:bookmarkEnd w:id="127"/>
      <w:bookmarkEnd w:id="128"/>
    </w:p>
    <w:p>
      <w:pPr>
        <w:pStyle w:val="5"/>
        <w:numPr>
          <w:ilvl w:val="0"/>
          <w:numId w:val="6"/>
        </w:numPr>
        <w:spacing w:line="360" w:lineRule="auto"/>
        <w:rPr>
          <w:rFonts w:ascii="宋体" w:hAnsi="宋体" w:eastAsia="宋体"/>
          <w:color w:val="auto"/>
          <w:szCs w:val="21"/>
        </w:rPr>
      </w:pPr>
      <w:bookmarkStart w:id="129" w:name="_Toc398284564"/>
      <w:bookmarkStart w:id="130" w:name="_Toc398504620"/>
      <w:bookmarkStart w:id="131" w:name="_Toc10193198"/>
      <w:bookmarkStart w:id="132" w:name="_Toc6298"/>
      <w:r>
        <w:rPr>
          <w:rFonts w:ascii="宋体" w:hAnsi="宋体" w:eastAsia="宋体"/>
          <w:color w:val="auto"/>
          <w:szCs w:val="21"/>
        </w:rPr>
        <w:t>定标准则</w:t>
      </w:r>
      <w:bookmarkEnd w:id="129"/>
      <w:bookmarkEnd w:id="130"/>
      <w:bookmarkEnd w:id="131"/>
      <w:bookmarkEnd w:id="132"/>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最低投标价不作为中标的保证。</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投标人的投标文件符合招标文件要求，按招标文件确定评标方法、标准，经评委评审并推荐中标候选人。</w:t>
      </w:r>
    </w:p>
    <w:p>
      <w:pPr>
        <w:pStyle w:val="5"/>
        <w:numPr>
          <w:ilvl w:val="0"/>
          <w:numId w:val="6"/>
        </w:numPr>
        <w:spacing w:line="360" w:lineRule="auto"/>
        <w:rPr>
          <w:rFonts w:ascii="宋体" w:hAnsi="宋体" w:eastAsia="宋体"/>
          <w:color w:val="auto"/>
          <w:szCs w:val="21"/>
        </w:rPr>
      </w:pPr>
      <w:bookmarkStart w:id="133" w:name="_Toc398504621"/>
      <w:bookmarkStart w:id="134" w:name="_Toc22159"/>
      <w:bookmarkStart w:id="135" w:name="_Toc398284565"/>
      <w:bookmarkStart w:id="136" w:name="_Toc10193199"/>
      <w:r>
        <w:rPr>
          <w:rFonts w:ascii="宋体" w:hAnsi="宋体" w:eastAsia="宋体"/>
          <w:color w:val="auto"/>
          <w:szCs w:val="21"/>
        </w:rPr>
        <w:t>中标通知</w:t>
      </w:r>
      <w:bookmarkEnd w:id="133"/>
      <w:bookmarkEnd w:id="134"/>
      <w:bookmarkEnd w:id="135"/>
      <w:bookmarkEnd w:id="136"/>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招标人确认中标人后，</w:t>
      </w:r>
      <w:r>
        <w:rPr>
          <w:rFonts w:ascii="宋体" w:hAnsi="宋体"/>
          <w:color w:val="auto"/>
          <w:sz w:val="24"/>
        </w:rPr>
        <w:t>招标代理机构向中标人发出中标通知书。</w:t>
      </w:r>
      <w:r>
        <w:rPr>
          <w:rFonts w:hint="eastAsia" w:ascii="宋体" w:hAnsi="宋体"/>
          <w:color w:val="auto"/>
          <w:sz w:val="24"/>
        </w:rPr>
        <w:t>《</w:t>
      </w:r>
      <w:r>
        <w:rPr>
          <w:rFonts w:ascii="宋体" w:hAnsi="宋体"/>
          <w:color w:val="auto"/>
          <w:sz w:val="24"/>
        </w:rPr>
        <w:t>中标通知书</w:t>
      </w:r>
      <w:r>
        <w:rPr>
          <w:rFonts w:hint="eastAsia" w:ascii="宋体" w:hAnsi="宋体"/>
          <w:color w:val="auto"/>
          <w:sz w:val="24"/>
        </w:rPr>
        <w:t>》</w:t>
      </w:r>
      <w:r>
        <w:rPr>
          <w:rFonts w:ascii="宋体" w:hAnsi="宋体"/>
          <w:color w:val="auto"/>
          <w:sz w:val="24"/>
        </w:rPr>
        <w:t>对招标人和中标人具有法律效力。</w:t>
      </w:r>
      <w:r>
        <w:rPr>
          <w:rFonts w:hint="eastAsia" w:ascii="宋体" w:hAnsi="宋体"/>
          <w:color w:val="auto"/>
          <w:sz w:val="24"/>
        </w:rPr>
        <w:t>《</w:t>
      </w:r>
      <w:r>
        <w:rPr>
          <w:rFonts w:ascii="宋体" w:hAnsi="宋体"/>
          <w:color w:val="auto"/>
          <w:sz w:val="24"/>
        </w:rPr>
        <w:t>中标通知书</w:t>
      </w:r>
      <w:r>
        <w:rPr>
          <w:rFonts w:hint="eastAsia" w:ascii="宋体" w:hAnsi="宋体"/>
          <w:color w:val="auto"/>
          <w:sz w:val="24"/>
        </w:rPr>
        <w:t>》</w:t>
      </w:r>
      <w:r>
        <w:rPr>
          <w:rFonts w:ascii="宋体" w:hAnsi="宋体"/>
          <w:color w:val="auto"/>
          <w:sz w:val="24"/>
        </w:rPr>
        <w:t>发出后，招标人改变中标结果的，或者中标人放弃中标的，应当依法承担法律责任。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《中标通知书》将作为签订采购合同的依据。采购合同签订后，《中标通知书》成为合同的一部分。</w:t>
      </w:r>
    </w:p>
    <w:p>
      <w:pPr>
        <w:pStyle w:val="5"/>
        <w:numPr>
          <w:ilvl w:val="0"/>
          <w:numId w:val="6"/>
        </w:numPr>
        <w:spacing w:line="360" w:lineRule="auto"/>
        <w:rPr>
          <w:rFonts w:ascii="宋体" w:hAnsi="宋体" w:eastAsia="宋体"/>
          <w:color w:val="auto"/>
          <w:szCs w:val="21"/>
        </w:rPr>
      </w:pPr>
      <w:bookmarkStart w:id="137" w:name="_Toc4751"/>
      <w:bookmarkStart w:id="138" w:name="_Toc10193200"/>
      <w:bookmarkStart w:id="139" w:name="_Toc398504622"/>
      <w:bookmarkStart w:id="140" w:name="_Toc398284566"/>
      <w:r>
        <w:rPr>
          <w:rFonts w:ascii="宋体" w:hAnsi="宋体" w:eastAsia="宋体"/>
          <w:color w:val="auto"/>
          <w:szCs w:val="21"/>
        </w:rPr>
        <w:t>签订合同</w:t>
      </w:r>
      <w:bookmarkEnd w:id="137"/>
      <w:bookmarkEnd w:id="138"/>
      <w:bookmarkEnd w:id="139"/>
      <w:bookmarkEnd w:id="140"/>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招标人、中标人应当在《中标通知书》发出之日起30日内，根据招标文件确定的事项和中标人</w:t>
      </w:r>
      <w:r>
        <w:rPr>
          <w:rFonts w:hint="eastAsia" w:ascii="宋体" w:hAnsi="宋体"/>
          <w:color w:val="auto"/>
          <w:sz w:val="24"/>
        </w:rPr>
        <w:t>的</w:t>
      </w:r>
      <w:r>
        <w:rPr>
          <w:rFonts w:ascii="宋体" w:hAnsi="宋体"/>
          <w:color w:val="auto"/>
          <w:sz w:val="24"/>
        </w:rPr>
        <w:t>投标文件，参照本招标文件第四章的《合同》文本签订合同。双方所签订的合同不得对招标文件和中标人投标文件作实质性修改。</w:t>
      </w:r>
      <w:r>
        <w:rPr>
          <w:rFonts w:hint="eastAsia" w:ascii="宋体" w:hAnsi="宋体"/>
          <w:color w:val="auto"/>
          <w:sz w:val="24"/>
        </w:rPr>
        <w:t>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文件、招标文件的修改文件、中标人的投标文件、补充或修改的文件及澄清或承诺文件等，均为双方签订采购合同的组成部分，并与合同一并作为本招标文件所列采购项目的互补性法律文件，与合同具有同等法律效力。</w:t>
      </w:r>
    </w:p>
    <w:p>
      <w:pPr>
        <w:numPr>
          <w:ilvl w:val="1"/>
          <w:numId w:val="6"/>
        </w:numPr>
        <w:tabs>
          <w:tab w:val="left" w:pos="993"/>
          <w:tab w:val="clear" w:pos="4084"/>
        </w:tabs>
        <w:spacing w:line="360" w:lineRule="auto"/>
        <w:ind w:left="-141" w:firstLine="480"/>
        <w:rPr>
          <w:rFonts w:ascii="宋体" w:hAnsi="宋体"/>
          <w:color w:val="auto"/>
          <w:sz w:val="24"/>
        </w:rPr>
      </w:pPr>
      <w:r>
        <w:rPr>
          <w:rFonts w:hint="eastAsia" w:ascii="宋体" w:hAnsi="宋体"/>
          <w:color w:val="auto"/>
          <w:sz w:val="24"/>
        </w:rPr>
        <w:t>中标人应当按照合同约定履行义务，完成中标项目。中标人不得向他人转让中标项目，也不得将中标项目肢解后分别向他人转让。中标人按照合同约定或者经招标人同意，可以将中标项目的部分非主体、非关键性工作分包给他人完成。接受分包的人应当具备相应的资格条件，并不得再次分包。中标人应当就分包项目向招标人负责，接受分包的人就分包项目承担连带责任。</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招标人在合同履行中，需追加与合同标的相同的货物或者服务的，在不改变合同其他条款的前提下，可与</w:t>
      </w:r>
      <w:r>
        <w:rPr>
          <w:rFonts w:hint="eastAsia" w:ascii="宋体" w:hAnsi="宋体"/>
          <w:color w:val="auto"/>
          <w:sz w:val="24"/>
          <w:lang w:eastAsia="zh-CN"/>
        </w:rPr>
        <w:t>投标人</w:t>
      </w:r>
      <w:r>
        <w:rPr>
          <w:rFonts w:ascii="宋体" w:hAnsi="宋体"/>
          <w:color w:val="auto"/>
          <w:sz w:val="24"/>
        </w:rPr>
        <w:t>协商签订补充合同，但所有补充合同的采购金额不得超过原合同采购金额的10％。</w:t>
      </w:r>
    </w:p>
    <w:p>
      <w:pPr>
        <w:numPr>
          <w:ilvl w:val="1"/>
          <w:numId w:val="6"/>
        </w:numPr>
        <w:tabs>
          <w:tab w:val="left" w:pos="993"/>
          <w:tab w:val="clear" w:pos="4084"/>
        </w:tabs>
        <w:spacing w:line="360" w:lineRule="auto"/>
        <w:ind w:left="-141" w:firstLine="480"/>
        <w:rPr>
          <w:rFonts w:ascii="宋体" w:hAnsi="宋体"/>
          <w:color w:val="auto"/>
          <w:sz w:val="24"/>
        </w:rPr>
      </w:pPr>
      <w:r>
        <w:rPr>
          <w:rFonts w:ascii="宋体" w:hAnsi="宋体"/>
          <w:color w:val="auto"/>
          <w:sz w:val="24"/>
        </w:rPr>
        <w:t>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widowControl/>
        <w:spacing w:line="360" w:lineRule="auto"/>
        <w:jc w:val="left"/>
        <w:rPr>
          <w:rFonts w:ascii="宋体" w:hAnsi="宋体"/>
          <w:color w:val="auto"/>
          <w:sz w:val="24"/>
        </w:rPr>
      </w:pPr>
    </w:p>
    <w:bookmarkEnd w:id="30"/>
    <w:bookmarkEnd w:id="31"/>
    <w:p>
      <w:pPr>
        <w:pStyle w:val="3"/>
        <w:pageBreakBefore/>
        <w:spacing w:before="240" w:after="240" w:line="360" w:lineRule="auto"/>
        <w:jc w:val="center"/>
        <w:rPr>
          <w:rFonts w:hint="eastAsia" w:ascii="宋体" w:hAnsi="宋体" w:eastAsia="宋体" w:cs="宋体"/>
          <w:color w:val="auto"/>
          <w:highlight w:val="none"/>
        </w:rPr>
      </w:pPr>
      <w:bookmarkStart w:id="141" w:name="_Toc21090"/>
      <w:bookmarkStart w:id="142" w:name="_Toc17895"/>
      <w:bookmarkStart w:id="143" w:name="_Toc71108641"/>
      <w:bookmarkStart w:id="144" w:name="_Toc70040683"/>
      <w:bookmarkStart w:id="145" w:name="_Toc70248064"/>
      <w:bookmarkStart w:id="146" w:name="_Toc71108486"/>
      <w:bookmarkStart w:id="147" w:name="_Toc398504629"/>
      <w:bookmarkStart w:id="148" w:name="_Toc317579633"/>
      <w:bookmarkStart w:id="149" w:name="_Toc398284573"/>
      <w:r>
        <w:rPr>
          <w:rFonts w:hint="eastAsia" w:ascii="宋体" w:hAnsi="宋体" w:eastAsia="宋体" w:cs="宋体"/>
          <w:color w:val="auto"/>
          <w:highlight w:val="none"/>
        </w:rPr>
        <w:t>第三章　招标内容及要求</w:t>
      </w:r>
      <w:bookmarkEnd w:id="141"/>
      <w:bookmarkEnd w:id="142"/>
    </w:p>
    <w:p>
      <w:pPr>
        <w:spacing w:line="360" w:lineRule="auto"/>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说明：</w:t>
      </w:r>
    </w:p>
    <w:p>
      <w:pPr>
        <w:spacing w:line="360" w:lineRule="auto"/>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(1)全文中带有“*”的条款为关键性条款，对这些关键性条款的任何负偏离或不满足将导致投标无效。</w:t>
      </w:r>
    </w:p>
    <w:p>
      <w:pPr>
        <w:spacing w:line="360" w:lineRule="auto"/>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(2)若招标文件中其它部分的相关条款与第三章发生理解冲突，则以第三章条款解释为准；如发生招标文件的修改，则相关条款以更改通知为准。</w:t>
      </w:r>
    </w:p>
    <w:p>
      <w:pPr>
        <w:spacing w:line="360" w:lineRule="auto"/>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(3)招标文件电子版本的内容与书面的内容发生冲突时，则以招标文件书面的内容为准。</w:t>
      </w:r>
    </w:p>
    <w:p>
      <w:pPr>
        <w:spacing w:line="360" w:lineRule="auto"/>
        <w:ind w:firstLine="482" w:firstLineChars="20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(4)招标文件中所述招标内容和要求，应视为服务项目所需的最低要求，如有遗漏，投标人应予以补充，否则一旦成为中标人将认为中标后的投标人认同遗漏部分并免费提供。</w:t>
      </w:r>
      <w:bookmarkStart w:id="150" w:name="_Toc20661017"/>
      <w:bookmarkEnd w:id="150"/>
      <w:bookmarkStart w:id="151" w:name="_Toc20664395"/>
      <w:bookmarkEnd w:id="151"/>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ind w:left="425" w:leftChars="0"/>
        <w:rPr>
          <w:rFonts w:ascii="宋体" w:hAnsi="宋体"/>
          <w:color w:val="auto"/>
          <w:sz w:val="24"/>
        </w:rPr>
      </w:pPr>
    </w:p>
    <w:p>
      <w:pPr>
        <w:numPr>
          <w:ilvl w:val="0"/>
          <w:numId w:val="0"/>
        </w:numPr>
        <w:tabs>
          <w:tab w:val="left" w:pos="1134"/>
        </w:tabs>
        <w:spacing w:line="360" w:lineRule="auto"/>
        <w:rPr>
          <w:rFonts w:ascii="宋体" w:hAnsi="宋体"/>
          <w:color w:val="auto"/>
          <w:sz w:val="24"/>
        </w:rPr>
      </w:pPr>
    </w:p>
    <w:bookmarkEnd w:id="9"/>
    <w:bookmarkEnd w:id="143"/>
    <w:bookmarkEnd w:id="144"/>
    <w:bookmarkEnd w:id="145"/>
    <w:bookmarkEnd w:id="146"/>
    <w:bookmarkEnd w:id="147"/>
    <w:bookmarkEnd w:id="148"/>
    <w:bookmarkEnd w:id="149"/>
    <w:p>
      <w:pPr>
        <w:numPr>
          <w:ilvl w:val="0"/>
          <w:numId w:val="0"/>
        </w:numPr>
        <w:ind w:leftChars="0"/>
        <w:rPr>
          <w:rStyle w:val="124"/>
          <w:rFonts w:hint="eastAsia" w:ascii="宋体" w:hAnsi="宋体" w:eastAsia="宋体" w:cs="宋体"/>
          <w:color w:val="auto"/>
          <w:lang w:val="en-US" w:eastAsia="zh-CN"/>
        </w:rPr>
      </w:pPr>
      <w:bookmarkStart w:id="152" w:name="_Toc18985"/>
      <w:bookmarkStart w:id="153" w:name="_Toc24987"/>
      <w:bookmarkStart w:id="154" w:name="_Toc19560"/>
      <w:bookmarkStart w:id="155" w:name="_Toc27421"/>
      <w:bookmarkStart w:id="156" w:name="_Toc140056960"/>
      <w:bookmarkStart w:id="157" w:name="_Toc105499947"/>
      <w:bookmarkStart w:id="158" w:name="_Toc398504635"/>
      <w:bookmarkStart w:id="159" w:name="_Toc398284579"/>
      <w:bookmarkStart w:id="160" w:name="_Toc140284155"/>
      <w:bookmarkStart w:id="161" w:name="_Toc102355493"/>
      <w:bookmarkStart w:id="162" w:name="_Toc144702580"/>
    </w:p>
    <w:p>
      <w:pPr>
        <w:numPr>
          <w:ilvl w:val="-1"/>
          <w:numId w:val="0"/>
        </w:numPr>
        <w:spacing w:line="360" w:lineRule="auto"/>
        <w:ind w:left="0" w:leftChars="0" w:firstLine="0"/>
        <w:rPr>
          <w:rStyle w:val="124"/>
          <w:rFonts w:hint="eastAsia" w:ascii="宋体" w:hAnsi="宋体" w:cs="宋体"/>
          <w:color w:val="auto"/>
          <w:lang w:val="en-US" w:eastAsia="zh-CN"/>
        </w:rPr>
      </w:pPr>
      <w:bookmarkStart w:id="163" w:name="_Toc23305"/>
      <w:r>
        <w:rPr>
          <w:rStyle w:val="124"/>
          <w:rFonts w:hint="eastAsia" w:ascii="宋体" w:hAnsi="宋体" w:cs="宋体"/>
          <w:color w:val="auto"/>
          <w:lang w:val="en-US" w:eastAsia="zh-CN"/>
        </w:rPr>
        <w:t>1 招标内容</w:t>
      </w:r>
    </w:p>
    <w:p>
      <w:pPr>
        <w:pStyle w:val="2"/>
        <w:numPr>
          <w:ilvl w:val="-1"/>
          <w:numId w:val="0"/>
        </w:numPr>
        <w:spacing w:line="360" w:lineRule="auto"/>
        <w:ind w:left="0" w:firstLine="0" w:firstLineChars="0"/>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cs="宋体"/>
          <w:sz w:val="24"/>
          <w:lang w:val="en-US" w:eastAsia="zh-CN"/>
        </w:rPr>
        <w:t>项目名称：</w:t>
      </w:r>
      <w:r>
        <w:rPr>
          <w:rFonts w:hint="eastAsia" w:ascii="宋体" w:hAnsi="宋体" w:cs="宋体"/>
          <w:sz w:val="24"/>
        </w:rPr>
        <w:t>2023年度码头智能化设施维养外包</w:t>
      </w:r>
    </w:p>
    <w:p>
      <w:pPr>
        <w:pStyle w:val="2"/>
        <w:numPr>
          <w:ilvl w:val="-1"/>
          <w:numId w:val="0"/>
        </w:numPr>
        <w:spacing w:line="360" w:lineRule="auto"/>
        <w:ind w:left="0" w:firstLine="0" w:firstLineChars="0"/>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sz w:val="24"/>
          <w:lang w:val="en-US" w:eastAsia="zh-CN"/>
        </w:rPr>
        <w:t>1.2服务范围：</w:t>
      </w:r>
      <w:r>
        <w:rPr>
          <w:rFonts w:hint="eastAsia" w:ascii="宋体" w:hAnsi="宋体" w:cs="宋体"/>
          <w:sz w:val="24"/>
        </w:rPr>
        <w:t>五缘湾游艇港</w:t>
      </w:r>
      <w:r>
        <w:rPr>
          <w:rFonts w:hint="eastAsia" w:ascii="宋体" w:hAnsi="宋体" w:eastAsia="宋体" w:cs="宋体"/>
          <w:sz w:val="24"/>
          <w:lang w:val="en-US" w:eastAsia="zh-CN"/>
        </w:rPr>
        <w:t>智能设备、系统、机房等设施的保养和维护，包括不限于</w:t>
      </w:r>
      <w:r>
        <w:rPr>
          <w:rFonts w:hint="eastAsia" w:ascii="宋体" w:hAnsi="宋体" w:cs="宋体"/>
          <w:sz w:val="24"/>
        </w:rPr>
        <w:t>软件系统（智能申报系统、码头信息化管理平台、游艇港比对系统</w:t>
      </w:r>
      <w:r>
        <w:rPr>
          <w:rFonts w:hint="eastAsia" w:ascii="宋体" w:hAnsi="宋体" w:eastAsia="宋体" w:cs="宋体"/>
          <w:sz w:val="24"/>
          <w:lang w:eastAsia="zh-CN"/>
        </w:rPr>
        <w:t>）、</w:t>
      </w:r>
      <w:r>
        <w:rPr>
          <w:rFonts w:hint="eastAsia" w:ascii="宋体" w:hAnsi="宋体" w:cs="宋体"/>
          <w:sz w:val="24"/>
        </w:rPr>
        <w:t>液晶显示拼接屏</w:t>
      </w:r>
      <w:r>
        <w:rPr>
          <w:rFonts w:hint="eastAsia" w:ascii="宋体" w:hAnsi="宋体" w:eastAsia="宋体" w:cs="宋体"/>
          <w:sz w:val="24"/>
          <w:lang w:eastAsia="zh-CN"/>
        </w:rPr>
        <w:t>、</w:t>
      </w:r>
      <w:r>
        <w:rPr>
          <w:rFonts w:hint="eastAsia" w:ascii="宋体" w:hAnsi="宋体" w:eastAsia="宋体" w:cs="宋体"/>
          <w:i w:val="0"/>
          <w:iCs w:val="0"/>
          <w:color w:val="auto"/>
          <w:kern w:val="0"/>
          <w:sz w:val="22"/>
          <w:szCs w:val="22"/>
          <w:u w:val="none"/>
          <w:lang w:val="en-US" w:eastAsia="zh-CN" w:bidi="ar"/>
        </w:rPr>
        <w:t>网络高清监控、</w:t>
      </w:r>
      <w:r>
        <w:rPr>
          <w:rFonts w:hint="eastAsia" w:ascii="宋体" w:hAnsi="宋体" w:cs="宋体"/>
          <w:color w:val="auto"/>
          <w:kern w:val="0"/>
          <w:sz w:val="22"/>
          <w:szCs w:val="22"/>
          <w:u w:val="none"/>
          <w:lang w:bidi="ar"/>
        </w:rPr>
        <w:t>主辅跟踪监控系统</w:t>
      </w:r>
      <w:r>
        <w:rPr>
          <w:rFonts w:hint="eastAsia" w:ascii="宋体" w:hAnsi="宋体" w:eastAsia="宋体" w:cs="宋体"/>
          <w:color w:val="auto"/>
          <w:kern w:val="0"/>
          <w:sz w:val="22"/>
          <w:szCs w:val="22"/>
          <w:u w:val="none"/>
          <w:lang w:eastAsia="zh-CN" w:bidi="ar"/>
        </w:rPr>
        <w:t>、</w:t>
      </w:r>
      <w:r>
        <w:rPr>
          <w:rFonts w:hint="eastAsia" w:ascii="宋体" w:hAnsi="宋体" w:eastAsia="宋体" w:cs="宋体"/>
          <w:i w:val="0"/>
          <w:iCs w:val="0"/>
          <w:color w:val="auto"/>
          <w:kern w:val="0"/>
          <w:sz w:val="22"/>
          <w:szCs w:val="22"/>
          <w:u w:val="none"/>
          <w:lang w:val="en-US" w:eastAsia="zh-CN" w:bidi="ar"/>
        </w:rPr>
        <w:t>帆船票务排班叫号功放喇叭等，详见智能化设施清单表。</w:t>
      </w:r>
    </w:p>
    <w:p>
      <w:pPr>
        <w:pStyle w:val="2"/>
        <w:numPr>
          <w:ilvl w:val="-1"/>
          <w:numId w:val="0"/>
        </w:numPr>
        <w:ind w:left="0" w:firstLine="0" w:firstLineChars="0"/>
        <w:jc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智能化设备清单表</w:t>
      </w:r>
    </w:p>
    <w:tbl>
      <w:tblPr>
        <w:tblStyle w:val="4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4680"/>
        <w:gridCol w:w="1100"/>
        <w:gridCol w:w="99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编号</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设备/系统名称</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单位</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b/>
                <w:bCs/>
                <w:i w:val="0"/>
                <w:iCs w:val="0"/>
                <w:color w:val="auto"/>
                <w:kern w:val="0"/>
                <w:sz w:val="22"/>
                <w:szCs w:val="22"/>
                <w:u w:val="none"/>
                <w:lang w:val="en-US" w:eastAsia="zh-CN" w:bidi="ar"/>
              </w:rPr>
              <w:t>数量</w:t>
            </w:r>
          </w:p>
        </w:tc>
        <w:tc>
          <w:tcPr>
            <w:tcW w:w="1060"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1</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软件系统（智能申报系统、码头信息化管理平台、游艇港比对系统）</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4</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2</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 xml:space="preserve">液晶显示拼接屏 </w:t>
            </w:r>
            <w:r>
              <w:rPr>
                <w:rStyle w:val="117"/>
                <w:color w:val="auto"/>
                <w:lang w:val="en-US" w:eastAsia="zh-CN" w:bidi="ar"/>
              </w:rPr>
              <w:t>（9块47寸)</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3</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网络高清监控</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46</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4</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主辅跟踪监控系统</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10</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5</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帆船票务排班叫号功放喇叭等</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6</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道闸（三锟闸5套、速通门6套）</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7</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机房</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8</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4"/>
                <w:szCs w:val="24"/>
                <w:u w:val="none"/>
                <w:lang w:val="en-US" w:eastAsia="zh-CN" w:bidi="ar"/>
              </w:rPr>
              <w:t>网络机柜</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3</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9</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防水设备箱</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个</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12</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10</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UPS不间断电源</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11</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安检设备</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3</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74" w:type="dxa"/>
            <w:vAlign w:val="center"/>
          </w:tcPr>
          <w:p>
            <w:pPr>
              <w:pStyle w:val="2"/>
              <w:numPr>
                <w:ilvl w:val="-1"/>
                <w:numId w:val="0"/>
              </w:numPr>
              <w:jc w:val="center"/>
              <w:rPr>
                <w:rFonts w:hint="default"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vertAlign w:val="baseline"/>
                <w:lang w:val="en-US" w:eastAsia="zh-CN" w:bidi="ar"/>
              </w:rPr>
              <w:t>12</w:t>
            </w:r>
          </w:p>
        </w:tc>
        <w:tc>
          <w:tcPr>
            <w:tcW w:w="468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巡更系统</w:t>
            </w:r>
          </w:p>
        </w:tc>
        <w:tc>
          <w:tcPr>
            <w:tcW w:w="110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套</w:t>
            </w:r>
          </w:p>
        </w:tc>
        <w:tc>
          <w:tcPr>
            <w:tcW w:w="99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vertAlign w:val="baseline"/>
                <w:lang w:val="en-US" w:eastAsia="zh-CN" w:bidi="ar"/>
              </w:rPr>
            </w:pPr>
            <w:r>
              <w:rPr>
                <w:rFonts w:hint="eastAsia" w:ascii="宋体" w:hAnsi="宋体" w:eastAsia="宋体" w:cs="宋体"/>
                <w:i w:val="0"/>
                <w:iCs w:val="0"/>
                <w:color w:val="auto"/>
                <w:kern w:val="0"/>
                <w:sz w:val="22"/>
                <w:szCs w:val="22"/>
                <w:u w:val="none"/>
                <w:lang w:val="en-US" w:eastAsia="zh-CN" w:bidi="ar"/>
              </w:rPr>
              <w:t>1</w:t>
            </w:r>
          </w:p>
        </w:tc>
        <w:tc>
          <w:tcPr>
            <w:tcW w:w="1060" w:type="dxa"/>
            <w:vAlign w:val="center"/>
          </w:tcPr>
          <w:p>
            <w:pPr>
              <w:pStyle w:val="2"/>
              <w:numPr>
                <w:ilvl w:val="-1"/>
                <w:numId w:val="0"/>
              </w:numPr>
              <w:jc w:val="center"/>
              <w:rPr>
                <w:rFonts w:hint="eastAsia" w:ascii="宋体" w:hAnsi="宋体" w:eastAsia="宋体" w:cs="宋体"/>
                <w:i w:val="0"/>
                <w:iCs w:val="0"/>
                <w:color w:val="auto"/>
                <w:kern w:val="0"/>
                <w:sz w:val="22"/>
                <w:szCs w:val="22"/>
                <w:u w:val="none"/>
                <w:vertAlign w:val="baseline"/>
                <w:lang w:val="en-US" w:eastAsia="zh-CN" w:bidi="ar"/>
              </w:rPr>
            </w:pPr>
          </w:p>
        </w:tc>
      </w:tr>
    </w:tbl>
    <w:p>
      <w:pPr>
        <w:pStyle w:val="2"/>
        <w:numPr>
          <w:ilvl w:val="-1"/>
          <w:numId w:val="0"/>
        </w:numPr>
        <w:ind w:left="0" w:firstLine="0" w:firstLineChars="0"/>
        <w:rPr>
          <w:rFonts w:hint="default" w:ascii="宋体" w:hAnsi="宋体" w:eastAsia="宋体" w:cs="宋体"/>
          <w:i w:val="0"/>
          <w:iCs w:val="0"/>
          <w:color w:val="auto"/>
          <w:kern w:val="0"/>
          <w:sz w:val="22"/>
          <w:szCs w:val="22"/>
          <w:u w:val="none"/>
          <w:lang w:val="en-US" w:eastAsia="zh-CN" w:bidi="ar"/>
        </w:rPr>
      </w:pPr>
    </w:p>
    <w:p>
      <w:pPr>
        <w:pStyle w:val="2"/>
        <w:numPr>
          <w:ilvl w:val="-1"/>
          <w:numId w:val="0"/>
        </w:numPr>
        <w:ind w:leftChars="0"/>
        <w:rPr>
          <w:rFonts w:hint="default" w:ascii="宋体" w:hAnsi="宋体" w:eastAsia="宋体" w:cs="宋体"/>
          <w:sz w:val="24"/>
          <w:lang w:val="en-US" w:eastAsia="zh-CN"/>
        </w:rPr>
      </w:pPr>
    </w:p>
    <w:p>
      <w:pPr>
        <w:numPr>
          <w:ilvl w:val="0"/>
          <w:numId w:val="4"/>
        </w:numPr>
        <w:rPr>
          <w:rStyle w:val="124"/>
          <w:rFonts w:ascii="宋体" w:hAnsi="宋体" w:eastAsia="宋体" w:cs="宋体"/>
          <w:color w:val="auto"/>
        </w:rPr>
      </w:pPr>
      <w:r>
        <w:rPr>
          <w:rStyle w:val="124"/>
          <w:rFonts w:hint="eastAsia" w:ascii="宋体" w:hAnsi="宋体" w:eastAsia="宋体" w:cs="宋体"/>
          <w:color w:val="auto"/>
        </w:rPr>
        <w:t>服务</w:t>
      </w:r>
      <w:r>
        <w:rPr>
          <w:rStyle w:val="124"/>
          <w:rFonts w:hint="eastAsia" w:ascii="宋体" w:hAnsi="宋体" w:cs="宋体"/>
          <w:color w:val="auto"/>
          <w:lang w:val="en-US" w:eastAsia="zh-CN"/>
        </w:rPr>
        <w:t>和技术</w:t>
      </w:r>
      <w:r>
        <w:rPr>
          <w:rStyle w:val="124"/>
          <w:rFonts w:hint="eastAsia" w:ascii="宋体" w:hAnsi="宋体" w:eastAsia="宋体" w:cs="宋体"/>
          <w:color w:val="auto"/>
        </w:rPr>
        <w:t>响应要求</w:t>
      </w:r>
    </w:p>
    <w:p>
      <w:pPr>
        <w:numPr>
          <w:ilvl w:val="0"/>
          <w:numId w:val="0"/>
        </w:numPr>
        <w:ind w:leftChars="0"/>
        <w:rPr>
          <w:rStyle w:val="124"/>
          <w:rFonts w:hint="eastAsia" w:ascii="宋体" w:hAnsi="宋体" w:eastAsia="宋体" w:cs="宋体"/>
          <w:color w:val="auto"/>
          <w:sz w:val="24"/>
          <w:szCs w:val="24"/>
        </w:rPr>
      </w:pPr>
      <w:r>
        <w:rPr>
          <w:rStyle w:val="43"/>
          <w:rFonts w:hint="eastAsia" w:ascii="宋体" w:hAnsi="宋体" w:eastAsia="宋体" w:cs="Times New Roman"/>
          <w:color w:val="auto"/>
          <w:sz w:val="24"/>
          <w:lang w:val="en-US" w:eastAsia="zh-CN"/>
        </w:rPr>
        <w:t>2.1</w:t>
      </w:r>
      <w:r>
        <w:rPr>
          <w:rStyle w:val="124"/>
          <w:rFonts w:hint="eastAsia" w:ascii="宋体" w:hAnsi="宋体" w:eastAsia="宋体" w:cs="宋体"/>
          <w:color w:val="auto"/>
          <w:sz w:val="24"/>
          <w:szCs w:val="24"/>
        </w:rPr>
        <w:t>维护保养标准及内容</w:t>
      </w:r>
      <w:r>
        <w:rPr>
          <w:rStyle w:val="124"/>
          <w:rFonts w:hint="eastAsia" w:ascii="宋体" w:hAnsi="宋体" w:cs="宋体"/>
          <w:color w:val="auto"/>
          <w:sz w:val="24"/>
          <w:szCs w:val="24"/>
          <w:lang w:eastAsia="zh-CN"/>
        </w:rPr>
        <w:t>（</w:t>
      </w:r>
      <w:r>
        <w:rPr>
          <w:rStyle w:val="124"/>
          <w:rFonts w:hint="eastAsia" w:ascii="宋体" w:hAnsi="宋体" w:cs="宋体"/>
          <w:color w:val="auto"/>
          <w:sz w:val="24"/>
          <w:szCs w:val="24"/>
          <w:lang w:val="en-US" w:eastAsia="zh-CN"/>
        </w:rPr>
        <w:t>详见后附表格</w:t>
      </w:r>
      <w:r>
        <w:rPr>
          <w:rStyle w:val="124"/>
          <w:rFonts w:hint="eastAsia" w:ascii="宋体" w:hAnsi="宋体" w:cs="宋体"/>
          <w:color w:val="auto"/>
          <w:sz w:val="24"/>
          <w:szCs w:val="24"/>
          <w:lang w:eastAsia="zh-CN"/>
        </w:rPr>
        <w:t>）</w:t>
      </w:r>
    </w:p>
    <w:bookmarkEnd w:id="163"/>
    <w:p>
      <w:pPr>
        <w:keepLines/>
        <w:numPr>
          <w:ilvl w:val="0"/>
          <w:numId w:val="0"/>
        </w:numPr>
        <w:spacing w:line="360" w:lineRule="auto"/>
        <w:outlineLvl w:val="2"/>
        <w:rPr>
          <w:rFonts w:ascii="宋体" w:hAnsi="宋体" w:cs="宋体"/>
          <w:b/>
          <w:bCs/>
          <w:color w:val="auto"/>
          <w:sz w:val="24"/>
          <w:szCs w:val="20"/>
        </w:rPr>
      </w:pPr>
    </w:p>
    <w:p>
      <w:pPr>
        <w:ind w:right="560"/>
        <w:jc w:val="both"/>
        <w:rPr>
          <w:rFonts w:ascii="仿宋" w:hAnsi="仿宋" w:eastAsia="仿宋"/>
          <w:bCs/>
          <w:color w:val="auto"/>
          <w:sz w:val="28"/>
          <w:szCs w:val="28"/>
          <w:highlight w:val="none"/>
        </w:rPr>
      </w:pPr>
    </w:p>
    <w:p>
      <w:pPr>
        <w:ind w:right="560"/>
        <w:jc w:val="right"/>
        <w:rPr>
          <w:rFonts w:ascii="仿宋" w:hAnsi="仿宋" w:eastAsia="仿宋"/>
          <w:bCs/>
          <w:color w:val="auto"/>
          <w:sz w:val="28"/>
          <w:szCs w:val="28"/>
          <w:highlight w:val="none"/>
        </w:rPr>
        <w:sectPr>
          <w:footerReference r:id="rId5" w:type="first"/>
          <w:headerReference r:id="rId3" w:type="default"/>
          <w:footerReference r:id="rId4" w:type="default"/>
          <w:pgSz w:w="11906" w:h="16838"/>
          <w:pgMar w:top="1417" w:right="1417" w:bottom="1417" w:left="1417" w:header="851" w:footer="850" w:gutter="0"/>
          <w:pgNumType w:fmt="decimal" w:start="1"/>
          <w:cols w:space="720" w:num="1"/>
          <w:docGrid w:type="lines" w:linePitch="312" w:charSpace="0"/>
        </w:sectPr>
      </w:pPr>
    </w:p>
    <w:tbl>
      <w:tblPr>
        <w:tblStyle w:val="41"/>
        <w:tblW w:w="14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7"/>
        <w:gridCol w:w="1067"/>
        <w:gridCol w:w="681"/>
        <w:gridCol w:w="740"/>
        <w:gridCol w:w="9900"/>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146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仿宋_GB2312" w:cs="宋体"/>
                <w:b/>
                <w:bCs/>
                <w:i w:val="0"/>
                <w:iCs w:val="0"/>
                <w:color w:val="auto"/>
                <w:sz w:val="22"/>
                <w:szCs w:val="22"/>
                <w:u w:val="none"/>
                <w:lang w:val="en-US" w:eastAsia="zh-CN"/>
              </w:rPr>
            </w:pPr>
            <w:r>
              <w:rPr>
                <w:rFonts w:hint="eastAsia" w:ascii="仿宋_GB2312" w:hAnsi="仿宋" w:eastAsia="仿宋_GB2312"/>
                <w:b/>
                <w:bCs w:val="0"/>
                <w:color w:val="auto"/>
                <w:sz w:val="30"/>
                <w:szCs w:val="30"/>
              </w:rPr>
              <w:t>智能化设施维修保养标准</w:t>
            </w:r>
            <w:r>
              <w:rPr>
                <w:rFonts w:hint="eastAsia" w:ascii="仿宋_GB2312" w:hAnsi="仿宋" w:eastAsia="仿宋_GB2312"/>
                <w:b/>
                <w:bCs w:val="0"/>
                <w:color w:val="auto"/>
                <w:sz w:val="30"/>
                <w:szCs w:val="30"/>
                <w:lang w:val="en-US" w:eastAsia="zh-CN"/>
              </w:rPr>
              <w:t>及内容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编号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设备/系统名称</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单位</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数量</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服务内容</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保养频率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软件系统（智能申报系统、码头信息化管理平台、游艇港比对系统）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要求所有服务器端和客户端的软件无卡机和假运行现象；包括对磁盘空间、系统日志、系统资源占用、访问性能等的检查；</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检查信息化平台与智能申报系统、游艇港比对系统各数据交互是否正常，各子系统与终端设备（闸机、自助机、航班显示与广播）硬件数据交互与控制是否正常、流畅；</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每月对业务数据和配置信息进行备份。定期检查备份数据是否安全可用；</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对病毒的监控、查杀及病毒防弹软件的升级：每月对病毒库进行升级，当有新的病毒出现时，随时升级。严禁发生病毒侵入或带入快速路内部网络；</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检查系统通过第三方接口与公安数据传输，包含Web Service、Socket、Web Api等多方式是否正常；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检查信息化平台与“游艇云售票系统”排班系统传输是否正常，数据链入有无丢包现象；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检查系统通过第三方接口与“游艇云票务系统平台”传输，包含Web Service、Socket、Web Api等是否正常；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检查系统通过第三方接口与“湖里公安分局视频联网”部分视频共享传输，包含Web Service、Socket、Web Api等是否正常；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备份并清理日志记录，避免发生磁盘空间溢出；包括对磁盘空间、系统日志、系统资源占用、访问性能等的检查；</w:t>
            </w:r>
          </w:p>
        </w:tc>
        <w:tc>
          <w:tcPr>
            <w:tcW w:w="169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季度</w:t>
            </w:r>
          </w:p>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2"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软件的安全级别符合《计算机信息系统安全保护等级划分准则》(GB17859)的有关规定。定期换系统密码，定期核准用户权限，防止系统出现越权访问。定期进行IP地址测试，检测非法用户，防止非法用户入侵；</w:t>
            </w:r>
          </w:p>
        </w:tc>
        <w:tc>
          <w:tcPr>
            <w:tcW w:w="169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针对现有网络进行整体性能评估，并针对网络的利用率进行优化及提出网络扩容和优化的建议；</w:t>
            </w:r>
          </w:p>
        </w:tc>
        <w:tc>
          <w:tcPr>
            <w:tcW w:w="1695"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液晶显示拼接屏 </w:t>
            </w:r>
            <w:r>
              <w:rPr>
                <w:rStyle w:val="117"/>
                <w:color w:val="auto"/>
                <w:lang w:val="en-US" w:eastAsia="zh-CN" w:bidi="ar"/>
              </w:rPr>
              <w:t xml:space="preserve">          （9块47寸)</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检查显示屏散热是否正常，有无过热现象，供电模块电压是否正常，有无电流声现象；</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检查解码器与综合安防平台通讯是否正常，有无掉线现象；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检查电解码器与显示屏的线路联接是否正常，有无松动现象；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定期清洁液晶拼接大屏的灰尘；</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检查显示屏是否在最佳状态并调整显示器参数并检查显示画面是否清晰，有无漏液、条纹干扰现象；</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检查LED灯管、模块、模组点亮是否正常，排线有无松动现象；电源供电电压是否在有效值，各接线端子有无松动现象；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控制卡与模组连接线是否有松动现象，与客户端系统通讯是否正常，安装是否牢靠；</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检查显示屏电源、高清信号线、控制电缆及各紧固件是否是有松动现象；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网络高清监控</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检查摄像机设机械联接处，线路中间处是否有破裂、接断现象；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检查前端至汇聚，汇聚至中心核心数据交换传输是否有数据丢包现象，网络RJ45是否有松动脱落及氧化现象；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检查视频存储服务器录像存储是否正常；存储硬盘是否损坏或出现坏道现象，并记录坏道的损坏情况；</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主辅跟踪监控系统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检查前端摄像机镜面是否脏污，摄像机各设定参数（焦距、光圈、OSD字符等）是否处于最佳状态，多目标跟踪处理器动态目标捕捉位置是否精准；</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检查处理器与视频监控平台传输是否正常，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检查枪机球机联动功能是否正常，是否有数据丢包现象，网络RJ45是否有松动脱落及氧化现象；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帆船票务排班叫号功放喇叭等</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检查系统设备的面板或指示灯的显示情况是否正常，针对故障设备进行本设备电源、音频信号输入/输出、控制信号输入/输出、接插件、同类设备替换等检查，找出系统故障的部位。</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检查航班前置服务器与信息化平台联网是否正常，信息化平台航班数据下发至航班服务器是否流畅，有无丢包现象；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应对设备供电系统进行检测，检测所有设备的电源线是否都已正确连接，以保证设备的供电系统稳定正常运行。</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应对设备进行检测，检查设备是否正常运行，功能是否正常，所有的信号源间的信号线是否正确连接。</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应对扬声器线路进行检测，通过历史记录对其外部回路进行分析，常规系使用检测工具对线路进行检测。</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检查显示屏显示是否正常，有无偏色、条纹干扰等现象；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检查前端喇叭设备固定是否完好，有无脱落现象；检查各喇叭音源输出是否正常，有无杂声，电流声等情况；检查前端喇叭连接线是否有松动现象。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清洁设备包含机柜、终端、功放、显示屏、数据交换机等灰尘。</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道闸（三锟闸5套、速通门6套）</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检查人脸识别终端、通道闸机是否沾污，定期抹除清理设备积尘；</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检查人脸识别终端联网状态是否良好，控制主板开关量输出信号，数据有无丢包、下发是否有延迟现象；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检查人脸识别终端触摸屏是否正常，外壳及屏体是否遭到损坏，支架及螺丝是否有松动迹象；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闸机内外除尘、清洁</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机芯、机械活动链接结构润滑保养，闸机偏移、翼闸开门偏移、摆臂矫正；</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紧固控制主板及接线端子；</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更换老化破损线缆。</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机房</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核验机房温湿度、通风性、密封性是否满足设备运行环境，如未则向业主提出改进方案</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更换变形或磨损较大的静电地板，防堵桥架洞口、紧固松动桥架盖。</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检查电线电缆是否磨损破皮。</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网络机柜</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更换/维修机柜故障锁、门，加固安装机柜不晃动。</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网关、交换机校验转发数据、性能、扇热是否正常，设备固定带宽是否满足实际运行带宽。</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核实机柜所有设备功率，更换相匹配的空气开关或有故障的空气开关；供电线缆是否完好及线径是否匹配输出功率，如未则更换相匹配线缆。加固开关接线紧固</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定期擦除机柜、设备灰尘。</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更换/维修故障设备箱锁、门；更换生锈严重的设备箱或固定件；裸露螺丝进行防锈处理；掉漆部分进行喷漆处理；防堵进水口；疏通通风口；</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更换有故障的空气开关；供电线缆是否完好。加固开关接线紧固</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定期擦除设备箱灰尘、设备灰尘。</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UPS不间断电源</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检查主机运行状态是否正常，有无报警现象，并查看主机输入及输出各项指标是否正常（电压、电流、频率），三相输出电流是否在平衡状态。</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检查电池各连接线是否接触是否良好，有无松动现象，各接点是否有过热现象；电池是否出现漏液现象，并对电池进行定期的充放电测试。</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检查各电源接头是否在松动、脱落现象；检查UPS配电系统线路，是否存在动物破坏、人为损坏现象；电源各接驳点温度是否有发热现象。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检查设备保护接地与设备缘接点是否良好；定期测试电气连接接地阻值；对防雷器工作状态进宪检查，并测度各项性能是否满足需求。</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检查UPS配电箱内各元器件是否有松动现象，供电电压是否正常，断路器机械性能及电流通断是否满足使用要求；检查智能电表、电流互感器各项参数据是否正常。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检查记录各相电压负载情况；查清各参数是否配置正确；断电进行UPS功能测试；</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UPS电池柜定期擦拭、除尘等卫生维护</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安检设备</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定期对安检门、X光机除尘保养</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定期检查安检门及X光机运行状况、设备内部线路，X-射线、风扇运行、传送装置等是否正常</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巡更系统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检查软件系统启动、运行是否正常；设备接入数据接入拷贝是否正常，系统软件各功能模块运行是否正常。</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检查巡更棒外观是否有损坏现象、充电状态是否正常，各数据电源接口是否有损坏现象。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检查各巡更点是否损坏，有无损坏、脱落现象。</w:t>
            </w: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296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7260" w:firstLineChars="330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维护费</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项</w:t>
            </w:r>
          </w:p>
        </w:tc>
      </w:tr>
    </w:tbl>
    <w:p>
      <w:pPr>
        <w:ind w:right="560"/>
        <w:jc w:val="right"/>
        <w:rPr>
          <w:rFonts w:ascii="仿宋" w:hAnsi="仿宋" w:eastAsia="仿宋"/>
          <w:bCs/>
          <w:color w:val="auto"/>
          <w:sz w:val="28"/>
          <w:szCs w:val="28"/>
          <w:highlight w:val="none"/>
        </w:rPr>
        <w:sectPr>
          <w:pgSz w:w="16838" w:h="11906" w:orient="landscape"/>
          <w:pgMar w:top="1588" w:right="1417" w:bottom="1588" w:left="1417" w:header="851" w:footer="850" w:gutter="0"/>
          <w:pgNumType w:fmt="decimal"/>
          <w:cols w:space="720" w:num="1"/>
          <w:docGrid w:type="lines" w:linePitch="312" w:charSpace="0"/>
        </w:sectPr>
      </w:pPr>
    </w:p>
    <w:bookmarkEnd w:id="152"/>
    <w:bookmarkEnd w:id="153"/>
    <w:bookmarkEnd w:id="154"/>
    <w:bookmarkEnd w:id="155"/>
    <w:p>
      <w:pPr>
        <w:numPr>
          <w:ilvl w:val="0"/>
          <w:numId w:val="0"/>
        </w:numPr>
        <w:spacing w:line="360" w:lineRule="auto"/>
        <w:ind w:left="568" w:leftChars="0"/>
        <w:jc w:val="center"/>
        <w:rPr>
          <w:rFonts w:ascii="仿宋" w:hAnsi="仿宋" w:eastAsia="仿宋" w:cs="仿宋"/>
          <w:bCs/>
          <w:color w:val="auto"/>
          <w:sz w:val="28"/>
          <w:szCs w:val="28"/>
        </w:rPr>
      </w:pPr>
      <w:r>
        <w:rPr>
          <w:rFonts w:hint="eastAsia" w:ascii="宋体" w:hAnsi="宋体" w:cs="宋体"/>
          <w:b/>
          <w:bCs/>
          <w:color w:val="auto"/>
          <w:sz w:val="28"/>
          <w:szCs w:val="28"/>
        </w:rPr>
        <w:t>维护保养所需配件清单</w:t>
      </w:r>
    </w:p>
    <w:tbl>
      <w:tblPr>
        <w:tblStyle w:val="41"/>
        <w:tblpPr w:leftFromText="180" w:rightFromText="180" w:vertAnchor="text" w:horzAnchor="page" w:tblpX="1115" w:tblpY="612"/>
        <w:tblOverlap w:val="never"/>
        <w:tblW w:w="92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3240"/>
        <w:gridCol w:w="2580"/>
        <w:gridCol w:w="916"/>
        <w:gridCol w:w="1016"/>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名称</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品牌</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六类</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五类</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RVV4*1.0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SC32#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RVV3*1.5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RVV3*2.5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光纤耦合器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枪机型摄像机支架</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DS-1229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室外设备箱门锁</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MS309-2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把</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光纤盒</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8口</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 5米)</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12V3A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道闸遥控器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HF401DK</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双基LED拼接屏</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双基色</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百兆网络交换机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TL-SF1005MP</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摄像机专用电源（户外）</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24V3A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HD104(4K10米)</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5V40A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智能跟踪设备专用电源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JAH-24V 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新泰</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速通门同步线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SH-S201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速通门门板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60cm*30cm</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二合一防雷模块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AJ2C-12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安讯</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千兆单模（单/双）芯</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H3C</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二合一防雷模块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AJ2C-12</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博莱斯</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室外专用馈线AP防雷器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KLF-X-N</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凯利锋</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300*250*160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AC250V/DC12V10A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300*400*280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AC250V/DC24V10A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AC250V/DC12V10A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SHOONIS</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机箱电源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大水牛</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TL-SF1009MP</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千兆光纤收发器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TL-FC311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控制机箱电源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DY12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威耕</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模独立型百兆单模单纤双向光纤收发器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TL-FC111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室内外防水音柱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DSP 208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处理器网口接线板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BQ-RJ02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RG-ES209GC-P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不锈钢护栏</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SU304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定制</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智能跟踪球机电路主板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D-TSC-HH200-18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智能多目标跟踪广角摄像机电路主板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WAC-1080P-BY2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红外半球摄像头</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DS-2CD3145FDV2-I</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巡更棒</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LDH-T68-2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乐德华</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环网式以太网交换机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3D226F-A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网络高清摄像机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DS-2CD4220XYZ-A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网络高清半球摄像机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DS-IPC-T12-I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16口千兆网络交换机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S1700-16G</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华为</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LED液晶拼接屏电源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JH-D46DLS-01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网络高清球型摄像机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DS-2DF7286-A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双门控制器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DS-K2601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吸顶AP</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三辊闸电路主板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德国卡巴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KABA</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多目标智能跟踪处理器电路主板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E900-P31200W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RG-EG105GW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球机转轴电机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BQ-150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12V100AH蓄电池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C12-100阀控式密封铅酸蓄电池</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山特</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网络高清枪式摄像机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DS-2CD4824FWD-IZ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迪士普功放</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MP600PIII 250w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固定IP专网路由器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TL-ER6120G</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速通门控制器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CDSLVC101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IOT硬盘（企业级）</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8TB</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身份验证模块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智能球机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DS-2DC7223IW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多目标跟踪-枪式摄像机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博聪WAC-1080P-BY2</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信息化网-交换机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RG-NBS5200-24GT4XS</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46液晶显示器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JH-D463LL</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核心交换机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RG-NBS5750-28GT4XS-E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多目标跟踪-球式摄像机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博聪D-TSC-HH200-18</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32路视路存储，16盘位</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128路视路存储，24盘位</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人脸识别模块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bl>
    <w:p>
      <w:pPr>
        <w:widowControl/>
        <w:numPr>
          <w:ilvl w:val="255"/>
          <w:numId w:val="0"/>
        </w:numPr>
        <w:spacing w:line="460" w:lineRule="exact"/>
        <w:rPr>
          <w:rFonts w:hint="eastAsia" w:ascii="宋体" w:hAnsi="宋体" w:cs="宋体"/>
          <w:b/>
          <w:bCs/>
          <w:color w:val="auto"/>
          <w:sz w:val="24"/>
          <w:szCs w:val="24"/>
          <w:highlight w:val="none"/>
        </w:rPr>
      </w:pPr>
    </w:p>
    <w:p>
      <w:pPr>
        <w:widowControl/>
        <w:numPr>
          <w:ilvl w:val="255"/>
          <w:numId w:val="0"/>
        </w:numPr>
        <w:spacing w:line="460" w:lineRule="exact"/>
        <w:rPr>
          <w:rFonts w:ascii="宋体" w:hAnsi="宋体"/>
          <w:b/>
          <w:color w:val="auto"/>
          <w:sz w:val="24"/>
          <w:highlight w:val="yellow"/>
        </w:rPr>
      </w:pPr>
      <w:r>
        <w:rPr>
          <w:rFonts w:hint="eastAsia" w:ascii="宋体" w:hAnsi="宋体" w:cs="宋体"/>
          <w:b/>
          <w:bCs/>
          <w:color w:val="auto"/>
          <w:sz w:val="24"/>
          <w:szCs w:val="24"/>
          <w:highlight w:val="none"/>
        </w:rPr>
        <w:t>备注：1、工程量</w:t>
      </w:r>
      <w:r>
        <w:rPr>
          <w:rFonts w:hint="eastAsia" w:ascii="宋体" w:hAnsi="宋体"/>
          <w:b/>
          <w:color w:val="auto"/>
          <w:sz w:val="24"/>
          <w:highlight w:val="none"/>
        </w:rPr>
        <w:t>清单中为预估工程量。采购人将</w:t>
      </w:r>
      <w:r>
        <w:rPr>
          <w:rFonts w:hint="eastAsia" w:ascii="宋体" w:hAnsi="宋体"/>
          <w:b/>
          <w:color w:val="auto"/>
          <w:sz w:val="24"/>
          <w:highlight w:val="none"/>
          <w:lang w:val="en-US" w:eastAsia="zh-CN"/>
        </w:rPr>
        <w:t>根据中标单位所报单价</w:t>
      </w:r>
      <w:r>
        <w:rPr>
          <w:rFonts w:hint="eastAsia" w:ascii="宋体" w:hAnsi="宋体"/>
          <w:b/>
          <w:color w:val="auto"/>
          <w:sz w:val="24"/>
          <w:highlight w:val="none"/>
        </w:rPr>
        <w:t>据实结算。</w:t>
      </w:r>
    </w:p>
    <w:p>
      <w:pPr>
        <w:widowControl/>
        <w:numPr>
          <w:ilvl w:val="255"/>
          <w:numId w:val="0"/>
        </w:numPr>
        <w:spacing w:line="460" w:lineRule="exact"/>
        <w:ind w:firstLine="482" w:firstLineChars="200"/>
        <w:rPr>
          <w:rFonts w:hint="eastAsia" w:ascii="宋体" w:hAnsi="宋体"/>
          <w:b/>
          <w:color w:val="auto"/>
          <w:sz w:val="24"/>
          <w:highlight w:val="none"/>
        </w:rPr>
      </w:pPr>
      <w:r>
        <w:rPr>
          <w:rFonts w:hint="eastAsia" w:ascii="宋体" w:hAnsi="宋体"/>
          <w:b/>
          <w:color w:val="auto"/>
          <w:sz w:val="24"/>
          <w:highlight w:val="none"/>
        </w:rPr>
        <w:t>2、采购人将与</w:t>
      </w:r>
      <w:r>
        <w:rPr>
          <w:rFonts w:hint="eastAsia" w:ascii="宋体" w:hAnsi="宋体"/>
          <w:b/>
          <w:color w:val="auto"/>
          <w:sz w:val="24"/>
          <w:highlight w:val="none"/>
          <w:lang w:eastAsia="zh-CN"/>
        </w:rPr>
        <w:t>中标人</w:t>
      </w:r>
      <w:r>
        <w:rPr>
          <w:rFonts w:hint="eastAsia" w:ascii="宋体" w:hAnsi="宋体"/>
          <w:b/>
          <w:color w:val="auto"/>
          <w:sz w:val="24"/>
          <w:highlight w:val="none"/>
        </w:rPr>
        <w:t>签订合同，根据采购文件规定和</w:t>
      </w:r>
      <w:r>
        <w:rPr>
          <w:rFonts w:hint="eastAsia" w:ascii="宋体" w:hAnsi="宋体"/>
          <w:b/>
          <w:color w:val="auto"/>
          <w:sz w:val="24"/>
          <w:highlight w:val="none"/>
          <w:lang w:eastAsia="zh-CN"/>
        </w:rPr>
        <w:t>中标人</w:t>
      </w:r>
      <w:r>
        <w:rPr>
          <w:rFonts w:hint="eastAsia" w:ascii="宋体" w:hAnsi="宋体"/>
          <w:b/>
          <w:color w:val="auto"/>
          <w:sz w:val="24"/>
          <w:highlight w:val="none"/>
        </w:rPr>
        <w:t>的报价承诺约定具体事项和考核方法，</w:t>
      </w:r>
      <w:r>
        <w:rPr>
          <w:rFonts w:hint="eastAsia" w:ascii="宋体" w:hAnsi="宋体"/>
          <w:b/>
          <w:color w:val="auto"/>
          <w:sz w:val="24"/>
          <w:highlight w:val="none"/>
          <w:lang w:eastAsia="zh-CN"/>
        </w:rPr>
        <w:t>中标人</w:t>
      </w:r>
      <w:r>
        <w:rPr>
          <w:rFonts w:hint="eastAsia" w:ascii="宋体" w:hAnsi="宋体"/>
          <w:b/>
          <w:color w:val="auto"/>
          <w:sz w:val="24"/>
          <w:highlight w:val="none"/>
        </w:rPr>
        <w:t>若发生违约行为或考核不合格，采购人有权终止合同的履行。</w:t>
      </w:r>
    </w:p>
    <w:bookmarkEnd w:id="156"/>
    <w:bookmarkEnd w:id="157"/>
    <w:bookmarkEnd w:id="158"/>
    <w:bookmarkEnd w:id="159"/>
    <w:bookmarkEnd w:id="160"/>
    <w:bookmarkEnd w:id="161"/>
    <w:bookmarkEnd w:id="162"/>
    <w:p>
      <w:pPr>
        <w:pStyle w:val="2"/>
        <w:rPr>
          <w:rFonts w:hint="default" w:eastAsia="宋体"/>
          <w:lang w:val="en-US" w:eastAsia="zh-CN"/>
        </w:rPr>
      </w:pPr>
      <w:bookmarkStart w:id="164" w:name="_Toc3761"/>
      <w:bookmarkStart w:id="165" w:name="_Toc7830"/>
    </w:p>
    <w:bookmarkEnd w:id="164"/>
    <w:bookmarkEnd w:id="165"/>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应制定详细的服务方案（包含具体的维保服务措施、服务人员、设备等方案），详细说明</w:t>
      </w:r>
      <w:r>
        <w:rPr>
          <w:rFonts w:hint="eastAsia" w:ascii="宋体" w:hAnsi="宋体"/>
          <w:color w:val="auto"/>
          <w:sz w:val="24"/>
          <w:lang w:eastAsia="zh-CN"/>
        </w:rPr>
        <w:t>中标</w:t>
      </w:r>
      <w:r>
        <w:rPr>
          <w:rFonts w:hint="eastAsia" w:ascii="宋体" w:hAnsi="宋体"/>
          <w:color w:val="auto"/>
          <w:sz w:val="24"/>
        </w:rPr>
        <w:t>后向采购人提供的服务内容、服务质量保障措施、服务实施计划、拟投入的服务人员和设备等内容。</w:t>
      </w:r>
    </w:p>
    <w:p>
      <w:pPr>
        <w:numPr>
          <w:ilvl w:val="1"/>
          <w:numId w:val="4"/>
        </w:numPr>
        <w:spacing w:line="460" w:lineRule="exact"/>
        <w:ind w:left="205" w:leftChars="0" w:firstLineChars="0"/>
        <w:rPr>
          <w:rFonts w:ascii="宋体" w:hAnsi="宋体"/>
          <w:color w:val="auto"/>
          <w:sz w:val="24"/>
        </w:rPr>
      </w:pPr>
      <w:r>
        <w:rPr>
          <w:rFonts w:hint="eastAsia" w:ascii="宋体" w:hAnsi="宋体" w:cs="宋体"/>
          <w:color w:val="auto"/>
          <w:kern w:val="0"/>
          <w:sz w:val="24"/>
          <w:lang w:eastAsia="zh-CN"/>
        </w:rPr>
        <w:t>投标人</w:t>
      </w:r>
      <w:r>
        <w:rPr>
          <w:rFonts w:ascii="宋体" w:hAnsi="宋体" w:cs="宋体"/>
          <w:color w:val="auto"/>
          <w:kern w:val="0"/>
          <w:sz w:val="24"/>
        </w:rPr>
        <w:t>须指派一名本项目负责人与</w:t>
      </w:r>
      <w:r>
        <w:rPr>
          <w:rFonts w:hint="eastAsia" w:ascii="宋体" w:hAnsi="宋体"/>
          <w:color w:val="auto"/>
          <w:sz w:val="24"/>
        </w:rPr>
        <w:t>采购</w:t>
      </w:r>
      <w:r>
        <w:rPr>
          <w:rFonts w:ascii="宋体" w:hAnsi="宋体" w:cs="宋体"/>
          <w:color w:val="auto"/>
          <w:kern w:val="0"/>
          <w:sz w:val="24"/>
        </w:rPr>
        <w:t>人沟通并跟踪设施运行情况，以便按时进行维保服务，及时处理故障或安排有关工作</w:t>
      </w:r>
      <w:r>
        <w:rPr>
          <w:rFonts w:hint="eastAsia" w:ascii="宋体" w:hAnsi="宋体" w:cs="宋体"/>
          <w:color w:val="auto"/>
          <w:kern w:val="0"/>
          <w:sz w:val="24"/>
        </w:rPr>
        <w:t>。</w:t>
      </w:r>
    </w:p>
    <w:p>
      <w:pPr>
        <w:numPr>
          <w:ilvl w:val="1"/>
          <w:numId w:val="4"/>
        </w:numPr>
        <w:spacing w:line="460" w:lineRule="exact"/>
        <w:ind w:left="205" w:leftChars="0" w:firstLineChars="0"/>
        <w:rPr>
          <w:rFonts w:ascii="宋体" w:hAnsi="宋体"/>
          <w:color w:val="auto"/>
          <w:sz w:val="24"/>
        </w:rPr>
      </w:pPr>
      <w:r>
        <w:rPr>
          <w:rFonts w:ascii="宋体" w:hAnsi="宋体" w:cs="宋体"/>
          <w:color w:val="auto"/>
          <w:kern w:val="0"/>
          <w:sz w:val="24"/>
        </w:rPr>
        <w:t>为保障维保工作系统化、规范化、档案化，</w:t>
      </w:r>
      <w:r>
        <w:rPr>
          <w:rFonts w:hint="eastAsia" w:ascii="宋体" w:hAnsi="宋体" w:cs="宋体"/>
          <w:color w:val="auto"/>
          <w:kern w:val="0"/>
          <w:sz w:val="24"/>
          <w:lang w:eastAsia="zh-CN"/>
        </w:rPr>
        <w:t>投标人</w:t>
      </w:r>
      <w:r>
        <w:rPr>
          <w:rFonts w:ascii="宋体" w:hAnsi="宋体" w:cs="宋体"/>
          <w:color w:val="auto"/>
          <w:kern w:val="0"/>
          <w:sz w:val="24"/>
        </w:rPr>
        <w:t>需到现场了解</w:t>
      </w:r>
      <w:r>
        <w:rPr>
          <w:rFonts w:hint="eastAsia" w:ascii="宋体" w:hAnsi="宋体" w:cs="宋体"/>
          <w:color w:val="auto"/>
          <w:kern w:val="0"/>
          <w:sz w:val="24"/>
        </w:rPr>
        <w:t>项目</w:t>
      </w:r>
      <w:r>
        <w:rPr>
          <w:rFonts w:ascii="宋体" w:hAnsi="宋体" w:cs="宋体"/>
          <w:color w:val="auto"/>
          <w:kern w:val="0"/>
          <w:sz w:val="24"/>
        </w:rPr>
        <w:t>设备运行情况，并结合现场设施设备情况及现场管理要求，有针对性地制定维保计划书</w:t>
      </w:r>
      <w:r>
        <w:rPr>
          <w:rFonts w:hint="eastAsia" w:ascii="宋体" w:hAnsi="宋体" w:cs="宋体"/>
          <w:color w:val="auto"/>
          <w:kern w:val="0"/>
          <w:sz w:val="24"/>
        </w:rPr>
        <w:t>。</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应做好智能化设施资料建档工作，及时更替老旧资料。</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所提供的服务标准必须符合行业相关规定的有关标准、规范要求，且必须满足</w:t>
      </w:r>
      <w:r>
        <w:rPr>
          <w:rFonts w:hint="eastAsia" w:ascii="宋体" w:hAnsi="宋体"/>
          <w:color w:val="auto"/>
          <w:sz w:val="24"/>
          <w:lang w:eastAsia="zh-CN"/>
        </w:rPr>
        <w:t>招标</w:t>
      </w:r>
      <w:r>
        <w:rPr>
          <w:rFonts w:hint="eastAsia" w:ascii="宋体" w:hAnsi="宋体"/>
          <w:color w:val="auto"/>
          <w:sz w:val="24"/>
        </w:rPr>
        <w:t>文件的相关要求。</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应全面认真执行国家的有关规定，并承担相应的责任，服从政府管理部门的技术指导。</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维保智能化设备及配套设施的维护保养必须达到原设计、使用的效果。一旦因维护、保养不到位导致发生意外并造成损失（经第三方权威部门认定为保养不善造成）将由</w:t>
      </w:r>
      <w:r>
        <w:rPr>
          <w:rFonts w:hint="eastAsia" w:ascii="宋体" w:hAnsi="宋体"/>
          <w:color w:val="auto"/>
          <w:sz w:val="24"/>
          <w:lang w:eastAsia="zh-CN"/>
        </w:rPr>
        <w:t>中标人</w:t>
      </w:r>
      <w:r>
        <w:rPr>
          <w:rFonts w:hint="eastAsia" w:ascii="宋体" w:hAnsi="宋体"/>
          <w:color w:val="auto"/>
          <w:sz w:val="24"/>
        </w:rPr>
        <w:t>承担由此带来的一切经济赔偿及法律责任。</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在进入采购人场地进行服务期间应接受采购人的协调和管理，向采购人提交当次维保计划书面文件（盖章件），并遵守采购人与本项目有关的各项规章制度，并与采购人签订安全施工管理协议，承担所派服务人员的安全责任。服务操作过程中应采取有效的安全措施，并对自身原因所造成的事故承担全部责任。</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维修所需工具、辅助用具及劳动保护用品由维修人员自备。采购人有权检查维保人员是否携带当次维保所需必备工具，维保人员应主动予以配合。</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应依据维保特点及要求，配备满足和维保工程项目要求的项目管理班子、技术人员及足够的设备。维保人员需持证上岗，随叫随到。</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中标人</w:t>
      </w:r>
      <w:r>
        <w:rPr>
          <w:rFonts w:hint="eastAsia" w:ascii="宋体" w:hAnsi="宋体"/>
          <w:color w:val="auto"/>
          <w:sz w:val="24"/>
        </w:rPr>
        <w:t>未按采购要求落实检测、检查工作，因维护不及时造成发生意外事故，采购人将按事故的损害情况向</w:t>
      </w:r>
      <w:r>
        <w:rPr>
          <w:rFonts w:hint="eastAsia" w:ascii="宋体" w:hAnsi="宋体"/>
          <w:color w:val="auto"/>
          <w:sz w:val="24"/>
          <w:lang w:eastAsia="zh-CN"/>
        </w:rPr>
        <w:t>中标人</w:t>
      </w:r>
      <w:r>
        <w:rPr>
          <w:rFonts w:hint="eastAsia" w:ascii="宋体" w:hAnsi="宋体"/>
          <w:color w:val="auto"/>
          <w:sz w:val="24"/>
        </w:rPr>
        <w:t>追索赔偿。</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应当对服务情况作出客观、真实、完整记录，建立技术服务档案。</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在维保工作结束时应出具一份全年维保工作报告（盖公章）。</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lang w:eastAsia="zh-CN"/>
        </w:rPr>
        <w:t>投标人</w:t>
      </w:r>
      <w:r>
        <w:rPr>
          <w:rFonts w:hint="eastAsia" w:ascii="宋体" w:hAnsi="宋体"/>
          <w:color w:val="auto"/>
          <w:sz w:val="24"/>
        </w:rPr>
        <w:t>不得虚报各项服务承诺，若所提供的服务不能达到报价时响应文件承诺和相关技术规范、行业规定等技术服务要求，</w:t>
      </w:r>
      <w:r>
        <w:rPr>
          <w:rFonts w:hint="eastAsia" w:ascii="宋体" w:hAnsi="宋体"/>
          <w:color w:val="auto"/>
          <w:sz w:val="24"/>
          <w:lang w:eastAsia="zh-CN"/>
        </w:rPr>
        <w:t>投标人</w:t>
      </w:r>
      <w:r>
        <w:rPr>
          <w:rFonts w:hint="eastAsia" w:ascii="宋体" w:hAnsi="宋体"/>
          <w:color w:val="auto"/>
          <w:sz w:val="24"/>
        </w:rPr>
        <w:t>必须接受全额退还货款，并承担由此给采购人造成的其他经济损失。</w:t>
      </w:r>
    </w:p>
    <w:p>
      <w:pPr>
        <w:numPr>
          <w:ilvl w:val="1"/>
          <w:numId w:val="4"/>
        </w:numPr>
        <w:spacing w:line="460" w:lineRule="exact"/>
        <w:ind w:left="205" w:leftChars="0" w:firstLineChars="0"/>
        <w:rPr>
          <w:rFonts w:ascii="宋体" w:hAnsi="宋体"/>
          <w:b/>
          <w:bCs/>
          <w:color w:val="auto"/>
          <w:sz w:val="24"/>
        </w:rPr>
      </w:pPr>
      <w:r>
        <w:rPr>
          <w:rFonts w:hint="eastAsia" w:ascii="宋体" w:hAnsi="宋体"/>
          <w:b/>
          <w:bCs/>
          <w:color w:val="auto"/>
          <w:sz w:val="24"/>
        </w:rPr>
        <w:t>本项目不允许转包、分包；采购人发现</w:t>
      </w:r>
      <w:r>
        <w:rPr>
          <w:rFonts w:hint="eastAsia" w:ascii="宋体" w:hAnsi="宋体"/>
          <w:b/>
          <w:bCs/>
          <w:color w:val="auto"/>
          <w:sz w:val="24"/>
          <w:lang w:eastAsia="zh-CN"/>
        </w:rPr>
        <w:t>中标人</w:t>
      </w:r>
      <w:r>
        <w:rPr>
          <w:rFonts w:hint="eastAsia" w:ascii="宋体" w:hAnsi="宋体"/>
          <w:b/>
          <w:bCs/>
          <w:color w:val="auto"/>
          <w:sz w:val="24"/>
        </w:rPr>
        <w:t>进行转包、分包的，有权单方解除合同，取消</w:t>
      </w:r>
      <w:r>
        <w:rPr>
          <w:rFonts w:hint="eastAsia" w:ascii="宋体" w:hAnsi="宋体"/>
          <w:b/>
          <w:bCs/>
          <w:color w:val="auto"/>
          <w:sz w:val="24"/>
          <w:lang w:eastAsia="zh-CN"/>
        </w:rPr>
        <w:t>中标人</w:t>
      </w:r>
      <w:r>
        <w:rPr>
          <w:rFonts w:hint="eastAsia" w:ascii="宋体" w:hAnsi="宋体"/>
          <w:b/>
          <w:bCs/>
          <w:color w:val="auto"/>
          <w:sz w:val="24"/>
        </w:rPr>
        <w:t>实施项目资格。</w:t>
      </w:r>
      <w:r>
        <w:rPr>
          <w:rFonts w:hint="eastAsia" w:ascii="宋体" w:hAnsi="宋体"/>
          <w:b/>
          <w:bCs/>
          <w:color w:val="auto"/>
          <w:sz w:val="24"/>
          <w:lang w:eastAsia="zh-CN"/>
        </w:rPr>
        <w:t>中标人</w:t>
      </w:r>
      <w:r>
        <w:rPr>
          <w:rFonts w:hint="eastAsia" w:ascii="宋体" w:hAnsi="宋体"/>
          <w:b/>
          <w:bCs/>
          <w:color w:val="auto"/>
          <w:sz w:val="24"/>
        </w:rPr>
        <w:t>除赔偿损失外，还须向采购人支付项目合同总价款20%的违约金。</w:t>
      </w:r>
    </w:p>
    <w:p>
      <w:pPr>
        <w:numPr>
          <w:ilvl w:val="1"/>
          <w:numId w:val="4"/>
        </w:numPr>
        <w:spacing w:line="460" w:lineRule="exact"/>
        <w:ind w:left="205" w:leftChars="0" w:firstLineChars="0"/>
        <w:rPr>
          <w:rFonts w:ascii="宋体" w:hAnsi="宋体"/>
          <w:color w:val="auto"/>
          <w:sz w:val="24"/>
        </w:rPr>
      </w:pPr>
      <w:r>
        <w:rPr>
          <w:rFonts w:hint="eastAsia" w:ascii="宋体" w:hAnsi="宋体"/>
          <w:color w:val="auto"/>
          <w:sz w:val="24"/>
        </w:rPr>
        <w:t>其他要求：</w:t>
      </w:r>
    </w:p>
    <w:p>
      <w:pPr>
        <w:spacing w:line="460" w:lineRule="exact"/>
        <w:ind w:firstLine="480" w:firstLineChars="200"/>
        <w:rPr>
          <w:rFonts w:ascii="宋体" w:hAnsi="宋体"/>
          <w:color w:val="auto"/>
          <w:sz w:val="24"/>
        </w:rPr>
      </w:pPr>
      <w:r>
        <w:rPr>
          <w:rFonts w:hint="eastAsia" w:ascii="宋体" w:hAnsi="宋体"/>
          <w:color w:val="auto"/>
          <w:sz w:val="24"/>
        </w:rPr>
        <w:t>（1）</w:t>
      </w:r>
      <w:r>
        <w:rPr>
          <w:rFonts w:hint="eastAsia" w:ascii="宋体" w:hAnsi="宋体"/>
          <w:color w:val="auto"/>
          <w:sz w:val="24"/>
          <w:lang w:eastAsia="zh-CN"/>
        </w:rPr>
        <w:t>中标人</w:t>
      </w:r>
      <w:r>
        <w:rPr>
          <w:rFonts w:ascii="宋体" w:hAnsi="宋体"/>
          <w:color w:val="auto"/>
          <w:sz w:val="24"/>
        </w:rPr>
        <w:t>应派遣专业工程师或有相关经验的技工到</w:t>
      </w:r>
      <w:r>
        <w:rPr>
          <w:rFonts w:hint="eastAsia" w:ascii="宋体" w:hAnsi="宋体"/>
          <w:color w:val="auto"/>
          <w:sz w:val="24"/>
        </w:rPr>
        <w:t>采购人</w:t>
      </w:r>
      <w:r>
        <w:rPr>
          <w:rFonts w:ascii="宋体" w:hAnsi="宋体"/>
          <w:color w:val="auto"/>
          <w:sz w:val="24"/>
        </w:rPr>
        <w:t>现场，并严格按</w:t>
      </w:r>
      <w:r>
        <w:rPr>
          <w:rFonts w:hint="eastAsia" w:ascii="宋体" w:hAnsi="宋体"/>
          <w:color w:val="auto"/>
          <w:sz w:val="24"/>
        </w:rPr>
        <w:t>维护保养</w:t>
      </w:r>
      <w:r>
        <w:rPr>
          <w:rFonts w:ascii="宋体" w:hAnsi="宋体"/>
          <w:color w:val="auto"/>
          <w:sz w:val="24"/>
        </w:rPr>
        <w:t>规范的要求提供技术服务。</w:t>
      </w:r>
    </w:p>
    <w:p>
      <w:pPr>
        <w:spacing w:line="460" w:lineRule="exact"/>
        <w:ind w:firstLine="480" w:firstLineChars="200"/>
        <w:rPr>
          <w:rFonts w:ascii="宋体" w:hAnsi="宋体"/>
          <w:color w:val="auto"/>
          <w:sz w:val="24"/>
        </w:rPr>
      </w:pPr>
      <w:r>
        <w:rPr>
          <w:rFonts w:hint="eastAsia" w:ascii="宋体" w:hAnsi="宋体"/>
          <w:color w:val="auto"/>
          <w:sz w:val="24"/>
        </w:rPr>
        <w:t>（2）</w:t>
      </w:r>
      <w:r>
        <w:rPr>
          <w:rFonts w:hint="eastAsia" w:ascii="宋体" w:hAnsi="宋体"/>
          <w:color w:val="auto"/>
          <w:sz w:val="24"/>
          <w:lang w:eastAsia="zh-CN"/>
        </w:rPr>
        <w:t>中标人</w:t>
      </w:r>
      <w:r>
        <w:rPr>
          <w:rFonts w:ascii="宋体" w:hAnsi="宋体"/>
          <w:color w:val="auto"/>
          <w:sz w:val="24"/>
        </w:rPr>
        <w:t>根据</w:t>
      </w:r>
      <w:r>
        <w:rPr>
          <w:rFonts w:hint="eastAsia" w:ascii="宋体" w:hAnsi="宋体"/>
          <w:color w:val="auto"/>
          <w:sz w:val="24"/>
        </w:rPr>
        <w:t>智能化设施维养标准及频率要求</w:t>
      </w:r>
      <w:r>
        <w:rPr>
          <w:rFonts w:ascii="宋体" w:hAnsi="宋体"/>
          <w:color w:val="auto"/>
          <w:sz w:val="24"/>
        </w:rPr>
        <w:t>对工程范围内的设备进行维护保养，每次维护保养工作完成后，分别由双方负责人签字存档妥善保存。</w:t>
      </w:r>
    </w:p>
    <w:p>
      <w:pPr>
        <w:spacing w:line="460" w:lineRule="exact"/>
        <w:ind w:firstLine="480" w:firstLineChars="200"/>
        <w:rPr>
          <w:rFonts w:ascii="宋体" w:hAnsi="宋体"/>
          <w:color w:val="auto"/>
          <w:sz w:val="24"/>
        </w:rPr>
      </w:pPr>
      <w:r>
        <w:rPr>
          <w:rFonts w:hint="eastAsia" w:ascii="宋体" w:hAnsi="宋体"/>
          <w:color w:val="auto"/>
          <w:sz w:val="24"/>
        </w:rPr>
        <w:t>（4）</w:t>
      </w:r>
      <w:r>
        <w:rPr>
          <w:rFonts w:hint="eastAsia" w:ascii="宋体" w:hAnsi="宋体"/>
          <w:color w:val="auto"/>
          <w:sz w:val="24"/>
          <w:lang w:eastAsia="zh-CN"/>
        </w:rPr>
        <w:t>中标人</w:t>
      </w:r>
      <w:r>
        <w:rPr>
          <w:rFonts w:ascii="宋体" w:hAnsi="宋体"/>
          <w:color w:val="auto"/>
          <w:sz w:val="24"/>
        </w:rPr>
        <w:t>维修保养质量必须符合经双方核实的竣工图纸的要求，确保正常运行。发现有问题的设备应及时向</w:t>
      </w:r>
      <w:r>
        <w:rPr>
          <w:rFonts w:hint="eastAsia" w:ascii="宋体" w:hAnsi="宋体"/>
          <w:color w:val="auto"/>
          <w:sz w:val="24"/>
        </w:rPr>
        <w:t>采购人</w:t>
      </w:r>
      <w:r>
        <w:rPr>
          <w:rFonts w:ascii="宋体" w:hAnsi="宋体"/>
          <w:color w:val="auto"/>
          <w:sz w:val="24"/>
        </w:rPr>
        <w:t>出具更换或检修报告。</w:t>
      </w:r>
    </w:p>
    <w:p>
      <w:pPr>
        <w:spacing w:line="460" w:lineRule="exact"/>
        <w:ind w:firstLine="480" w:firstLineChars="200"/>
        <w:rPr>
          <w:rFonts w:ascii="宋体" w:hAnsi="宋体"/>
          <w:color w:val="auto"/>
          <w:sz w:val="24"/>
        </w:rPr>
      </w:pPr>
      <w:r>
        <w:rPr>
          <w:rFonts w:hint="eastAsia" w:ascii="宋体" w:hAnsi="宋体"/>
          <w:color w:val="auto"/>
          <w:sz w:val="24"/>
        </w:rPr>
        <w:t>（5）</w:t>
      </w:r>
      <w:r>
        <w:rPr>
          <w:rFonts w:ascii="宋体" w:hAnsi="宋体"/>
          <w:color w:val="auto"/>
          <w:sz w:val="24"/>
        </w:rPr>
        <w:t>当接到</w:t>
      </w:r>
      <w:r>
        <w:rPr>
          <w:rFonts w:hint="eastAsia" w:ascii="宋体" w:hAnsi="宋体"/>
          <w:color w:val="auto"/>
          <w:sz w:val="24"/>
        </w:rPr>
        <w:t>采购人</w:t>
      </w:r>
      <w:r>
        <w:rPr>
          <w:rFonts w:ascii="宋体" w:hAnsi="宋体"/>
          <w:color w:val="auto"/>
          <w:sz w:val="24"/>
        </w:rPr>
        <w:t>报告设备发生故障时，</w:t>
      </w:r>
      <w:r>
        <w:rPr>
          <w:rFonts w:hint="eastAsia" w:ascii="宋体" w:hAnsi="宋体"/>
          <w:color w:val="auto"/>
          <w:sz w:val="24"/>
          <w:lang w:eastAsia="zh-CN"/>
        </w:rPr>
        <w:t>中标人</w:t>
      </w:r>
      <w:r>
        <w:rPr>
          <w:rFonts w:ascii="宋体" w:hAnsi="宋体"/>
          <w:color w:val="auto"/>
          <w:sz w:val="24"/>
        </w:rPr>
        <w:t>应在 4小时内赶到现场处理，一般情况立即处理解决，如需更换材料或设备，应等材料及设备到场后在复杂情况下应在 48 小时</w:t>
      </w:r>
      <w:r>
        <w:rPr>
          <w:rFonts w:hint="eastAsia" w:ascii="宋体" w:hAnsi="宋体"/>
          <w:color w:val="auto"/>
          <w:sz w:val="24"/>
        </w:rPr>
        <w:t>内</w:t>
      </w:r>
      <w:r>
        <w:rPr>
          <w:rFonts w:ascii="宋体" w:hAnsi="宋体"/>
          <w:color w:val="auto"/>
          <w:sz w:val="24"/>
        </w:rPr>
        <w:t>解决，确因无配件的问题，应及时向</w:t>
      </w:r>
      <w:r>
        <w:rPr>
          <w:rFonts w:hint="eastAsia" w:ascii="宋体" w:hAnsi="宋体"/>
          <w:color w:val="auto"/>
          <w:sz w:val="24"/>
        </w:rPr>
        <w:t>采购人</w:t>
      </w:r>
      <w:r>
        <w:rPr>
          <w:rFonts w:ascii="宋体" w:hAnsi="宋体"/>
          <w:color w:val="auto"/>
          <w:sz w:val="24"/>
        </w:rPr>
        <w:t>汇报，并提出应急方案。</w:t>
      </w:r>
    </w:p>
    <w:p>
      <w:pPr>
        <w:spacing w:line="460" w:lineRule="exact"/>
        <w:ind w:firstLine="480" w:firstLineChars="200"/>
        <w:rPr>
          <w:rFonts w:ascii="宋体" w:hAnsi="宋体"/>
          <w:color w:val="auto"/>
          <w:sz w:val="24"/>
        </w:rPr>
      </w:pPr>
      <w:r>
        <w:rPr>
          <w:rFonts w:hint="eastAsia" w:ascii="宋体" w:hAnsi="宋体"/>
          <w:color w:val="auto"/>
          <w:sz w:val="24"/>
        </w:rPr>
        <w:t>（6）</w:t>
      </w:r>
      <w:r>
        <w:rPr>
          <w:rFonts w:ascii="宋体" w:hAnsi="宋体"/>
          <w:color w:val="auto"/>
          <w:sz w:val="24"/>
        </w:rPr>
        <w:t>定期检查维护各种</w:t>
      </w:r>
      <w:r>
        <w:rPr>
          <w:rFonts w:hint="eastAsia" w:ascii="宋体" w:hAnsi="宋体"/>
          <w:color w:val="auto"/>
          <w:sz w:val="24"/>
        </w:rPr>
        <w:t>智能化</w:t>
      </w:r>
      <w:r>
        <w:rPr>
          <w:rFonts w:ascii="宋体" w:hAnsi="宋体"/>
          <w:color w:val="auto"/>
          <w:sz w:val="24"/>
        </w:rPr>
        <w:t>设施，保证设施的正常运行。在维护保养期间，</w:t>
      </w:r>
      <w:r>
        <w:rPr>
          <w:rFonts w:hint="eastAsia" w:ascii="宋体" w:hAnsi="宋体"/>
          <w:color w:val="auto"/>
          <w:sz w:val="24"/>
        </w:rPr>
        <w:t>智能化</w:t>
      </w:r>
      <w:r>
        <w:rPr>
          <w:rFonts w:ascii="宋体" w:hAnsi="宋体"/>
          <w:color w:val="auto"/>
          <w:sz w:val="24"/>
        </w:rPr>
        <w:t>设施故障</w:t>
      </w:r>
      <w:r>
        <w:rPr>
          <w:rFonts w:hint="eastAsia" w:ascii="宋体" w:hAnsi="宋体"/>
          <w:color w:val="auto"/>
          <w:sz w:val="24"/>
          <w:lang w:eastAsia="zh-CN"/>
        </w:rPr>
        <w:t>中标人</w:t>
      </w:r>
      <w:r>
        <w:rPr>
          <w:rFonts w:ascii="宋体" w:hAnsi="宋体"/>
          <w:color w:val="auto"/>
          <w:sz w:val="24"/>
        </w:rPr>
        <w:t>没有及时进行维修，导致</w:t>
      </w:r>
      <w:r>
        <w:rPr>
          <w:rFonts w:hint="eastAsia" w:ascii="宋体" w:hAnsi="宋体"/>
          <w:color w:val="auto"/>
          <w:sz w:val="24"/>
        </w:rPr>
        <w:t>智能化</w:t>
      </w:r>
      <w:r>
        <w:rPr>
          <w:rFonts w:ascii="宋体" w:hAnsi="宋体"/>
          <w:color w:val="auto"/>
          <w:sz w:val="24"/>
        </w:rPr>
        <w:t>设施没有发挥其功能，造成</w:t>
      </w:r>
      <w:r>
        <w:rPr>
          <w:rFonts w:hint="eastAsia" w:ascii="宋体" w:hAnsi="宋体"/>
          <w:color w:val="auto"/>
          <w:sz w:val="24"/>
        </w:rPr>
        <w:t>采购人</w:t>
      </w:r>
      <w:r>
        <w:rPr>
          <w:rFonts w:ascii="宋体" w:hAnsi="宋体"/>
          <w:color w:val="auto"/>
          <w:sz w:val="24"/>
        </w:rPr>
        <w:t>损失的，责任由</w:t>
      </w:r>
      <w:r>
        <w:rPr>
          <w:rFonts w:hint="eastAsia" w:ascii="宋体" w:hAnsi="宋体"/>
          <w:color w:val="auto"/>
          <w:sz w:val="24"/>
          <w:lang w:eastAsia="zh-CN"/>
        </w:rPr>
        <w:t>中标人</w:t>
      </w:r>
      <w:r>
        <w:rPr>
          <w:rFonts w:ascii="宋体" w:hAnsi="宋体"/>
          <w:color w:val="auto"/>
          <w:sz w:val="24"/>
        </w:rPr>
        <w:t>承担。</w:t>
      </w:r>
    </w:p>
    <w:p>
      <w:pPr>
        <w:spacing w:line="460" w:lineRule="exact"/>
        <w:ind w:firstLine="480" w:firstLineChars="200"/>
        <w:rPr>
          <w:rFonts w:ascii="宋体" w:hAnsi="宋体"/>
          <w:color w:val="auto"/>
          <w:sz w:val="24"/>
        </w:rPr>
      </w:pPr>
      <w:r>
        <w:rPr>
          <w:rFonts w:hint="eastAsia" w:ascii="宋体" w:hAnsi="宋体"/>
          <w:color w:val="auto"/>
          <w:sz w:val="24"/>
        </w:rPr>
        <w:t>（7）</w:t>
      </w:r>
      <w:r>
        <w:rPr>
          <w:rFonts w:ascii="宋体" w:hAnsi="宋体"/>
          <w:color w:val="auto"/>
          <w:sz w:val="24"/>
        </w:rPr>
        <w:t>对于</w:t>
      </w:r>
      <w:r>
        <w:rPr>
          <w:rFonts w:hint="eastAsia" w:ascii="宋体" w:hAnsi="宋体"/>
          <w:color w:val="auto"/>
          <w:sz w:val="24"/>
        </w:rPr>
        <w:t>采购人</w:t>
      </w:r>
      <w:r>
        <w:rPr>
          <w:rFonts w:ascii="宋体" w:hAnsi="宋体"/>
          <w:color w:val="auto"/>
          <w:sz w:val="24"/>
        </w:rPr>
        <w:t>提供的图纸和技术资料以及属于</w:t>
      </w:r>
      <w:r>
        <w:rPr>
          <w:rFonts w:hint="eastAsia" w:ascii="宋体" w:hAnsi="宋体"/>
          <w:color w:val="auto"/>
          <w:sz w:val="24"/>
        </w:rPr>
        <w:t>采购人</w:t>
      </w:r>
      <w:r>
        <w:rPr>
          <w:rFonts w:ascii="宋体" w:hAnsi="宋体"/>
          <w:color w:val="auto"/>
          <w:sz w:val="24"/>
        </w:rPr>
        <w:t>的检测报告，</w:t>
      </w:r>
      <w:r>
        <w:rPr>
          <w:rFonts w:hint="eastAsia" w:ascii="宋体" w:hAnsi="宋体"/>
          <w:color w:val="auto"/>
          <w:sz w:val="24"/>
          <w:lang w:eastAsia="zh-CN"/>
        </w:rPr>
        <w:t>中标人</w:t>
      </w:r>
      <w:r>
        <w:rPr>
          <w:rFonts w:ascii="宋体" w:hAnsi="宋体"/>
          <w:color w:val="auto"/>
          <w:sz w:val="24"/>
        </w:rPr>
        <w:t>有保密义务，除上级主管部门外，不得向第三人泄露。</w:t>
      </w:r>
    </w:p>
    <w:p>
      <w:pPr>
        <w:spacing w:line="460" w:lineRule="exact"/>
        <w:ind w:firstLine="480" w:firstLineChars="200"/>
        <w:rPr>
          <w:rFonts w:ascii="宋体" w:hAnsi="宋体"/>
          <w:color w:val="auto"/>
          <w:sz w:val="24"/>
        </w:rPr>
      </w:pPr>
      <w:r>
        <w:rPr>
          <w:rFonts w:hint="eastAsia" w:ascii="宋体" w:hAnsi="宋体"/>
          <w:color w:val="auto"/>
          <w:sz w:val="24"/>
        </w:rPr>
        <w:t>（8）</w:t>
      </w:r>
      <w:r>
        <w:rPr>
          <w:rFonts w:hint="eastAsia" w:ascii="宋体" w:hAnsi="宋体"/>
          <w:color w:val="auto"/>
          <w:sz w:val="24"/>
          <w:lang w:eastAsia="zh-CN"/>
        </w:rPr>
        <w:t>中标人</w:t>
      </w:r>
      <w:r>
        <w:rPr>
          <w:rFonts w:ascii="宋体" w:hAnsi="宋体"/>
          <w:color w:val="auto"/>
          <w:sz w:val="24"/>
        </w:rPr>
        <w:t>人员在工作时，严格遵守国家的法律及</w:t>
      </w:r>
      <w:r>
        <w:rPr>
          <w:rFonts w:hint="eastAsia" w:ascii="宋体" w:hAnsi="宋体"/>
          <w:color w:val="auto"/>
          <w:sz w:val="24"/>
        </w:rPr>
        <w:t>采购人</w:t>
      </w:r>
      <w:r>
        <w:rPr>
          <w:rFonts w:ascii="宋体" w:hAnsi="宋体"/>
          <w:color w:val="auto"/>
          <w:sz w:val="24"/>
        </w:rPr>
        <w:t>的规章制度，应尽量降低维护保养工作对</w:t>
      </w:r>
      <w:r>
        <w:rPr>
          <w:rFonts w:hint="eastAsia" w:ascii="宋体" w:hAnsi="宋体"/>
          <w:color w:val="auto"/>
          <w:sz w:val="24"/>
        </w:rPr>
        <w:t>采购人</w:t>
      </w:r>
      <w:r>
        <w:rPr>
          <w:rFonts w:ascii="宋体" w:hAnsi="宋体"/>
          <w:color w:val="auto"/>
          <w:sz w:val="24"/>
        </w:rPr>
        <w:t>产生的影响</w:t>
      </w:r>
    </w:p>
    <w:p>
      <w:pPr>
        <w:numPr>
          <w:ilvl w:val="0"/>
          <w:numId w:val="4"/>
        </w:numPr>
        <w:rPr>
          <w:rStyle w:val="124"/>
          <w:rFonts w:ascii="宋体" w:hAnsi="宋体" w:eastAsia="宋体" w:cs="宋体"/>
          <w:color w:val="auto"/>
        </w:rPr>
      </w:pPr>
      <w:bookmarkStart w:id="166" w:name="_Toc22980"/>
      <w:bookmarkStart w:id="167" w:name="_Toc20202"/>
      <w:r>
        <w:rPr>
          <w:rStyle w:val="124"/>
          <w:rFonts w:hint="eastAsia" w:ascii="宋体" w:hAnsi="宋体" w:eastAsia="宋体" w:cs="宋体"/>
          <w:color w:val="auto"/>
        </w:rPr>
        <w:t>服务期限</w:t>
      </w:r>
    </w:p>
    <w:bookmarkEnd w:id="166"/>
    <w:bookmarkEnd w:id="167"/>
    <w:p>
      <w:pPr>
        <w:numPr>
          <w:ilvl w:val="1"/>
          <w:numId w:val="4"/>
        </w:numPr>
        <w:tabs>
          <w:tab w:val="left" w:pos="964"/>
          <w:tab w:val="left" w:pos="992"/>
        </w:tabs>
        <w:spacing w:line="460" w:lineRule="exact"/>
        <w:ind w:left="205" w:leftChars="0" w:firstLineChars="0"/>
        <w:rPr>
          <w:rStyle w:val="124"/>
          <w:rFonts w:ascii="宋体" w:hAnsi="宋体" w:eastAsia="宋体" w:cs="宋体"/>
          <w:b w:val="0"/>
          <w:bCs w:val="0"/>
          <w:strike/>
          <w:color w:val="auto"/>
          <w:sz w:val="24"/>
        </w:rPr>
      </w:pPr>
      <w:r>
        <w:rPr>
          <w:rFonts w:hint="eastAsia" w:ascii="宋体" w:hAnsi="宋体" w:cs="宋体"/>
          <w:color w:val="auto"/>
          <w:sz w:val="24"/>
        </w:rPr>
        <w:t>本项目服务时间为202</w:t>
      </w:r>
      <w:r>
        <w:rPr>
          <w:rFonts w:hint="eastAsia" w:ascii="宋体" w:hAnsi="宋体" w:cs="宋体"/>
          <w:color w:val="auto"/>
          <w:sz w:val="24"/>
          <w:lang w:val="en-US" w:eastAsia="zh-CN"/>
        </w:rPr>
        <w:t>3</w:t>
      </w:r>
      <w:r>
        <w:rPr>
          <w:rFonts w:hint="eastAsia" w:ascii="宋体" w:hAnsi="宋体" w:cs="宋体"/>
          <w:color w:val="auto"/>
          <w:sz w:val="24"/>
        </w:rPr>
        <w:t>年</w:t>
      </w:r>
      <w:r>
        <w:rPr>
          <w:rFonts w:hint="eastAsia" w:ascii="宋体" w:hAnsi="宋体" w:cs="宋体"/>
          <w:color w:val="auto"/>
          <w:sz w:val="24"/>
          <w:lang w:val="en-US" w:eastAsia="zh-CN"/>
        </w:rPr>
        <w:t>2</w:t>
      </w:r>
      <w:r>
        <w:rPr>
          <w:rFonts w:hint="eastAsia" w:ascii="宋体" w:hAnsi="宋体" w:cs="宋体"/>
          <w:color w:val="auto"/>
          <w:sz w:val="24"/>
        </w:rPr>
        <w:t>月1日至202</w:t>
      </w:r>
      <w:r>
        <w:rPr>
          <w:rFonts w:hint="eastAsia" w:ascii="宋体" w:hAnsi="宋体" w:cs="宋体"/>
          <w:color w:val="auto"/>
          <w:sz w:val="24"/>
          <w:lang w:val="en-US" w:eastAsia="zh-CN"/>
        </w:rPr>
        <w:t>4</w:t>
      </w:r>
      <w:r>
        <w:rPr>
          <w:rFonts w:hint="eastAsia" w:ascii="宋体" w:hAnsi="宋体" w:cs="宋体"/>
          <w:color w:val="auto"/>
          <w:sz w:val="24"/>
        </w:rPr>
        <w:t>年</w:t>
      </w:r>
      <w:r>
        <w:rPr>
          <w:rFonts w:hint="eastAsia" w:ascii="宋体" w:hAnsi="宋体" w:cs="宋体"/>
          <w:color w:val="auto"/>
          <w:sz w:val="24"/>
          <w:lang w:val="en-US" w:eastAsia="zh-CN"/>
        </w:rPr>
        <w:t>1</w:t>
      </w:r>
      <w:r>
        <w:rPr>
          <w:rFonts w:hint="eastAsia" w:ascii="宋体" w:hAnsi="宋体" w:cs="宋体"/>
          <w:color w:val="auto"/>
          <w:sz w:val="24"/>
        </w:rPr>
        <w:t>月31日止。</w:t>
      </w:r>
    </w:p>
    <w:p>
      <w:pPr>
        <w:numPr>
          <w:ilvl w:val="0"/>
          <w:numId w:val="4"/>
        </w:numPr>
        <w:rPr>
          <w:rStyle w:val="124"/>
          <w:rFonts w:ascii="宋体" w:hAnsi="宋体" w:eastAsia="宋体" w:cs="宋体"/>
          <w:color w:val="auto"/>
        </w:rPr>
      </w:pPr>
      <w:bookmarkStart w:id="168" w:name="_Toc1871"/>
      <w:bookmarkStart w:id="169" w:name="_Toc10924"/>
      <w:r>
        <w:rPr>
          <w:rStyle w:val="124"/>
          <w:rFonts w:hint="eastAsia" w:ascii="宋体" w:hAnsi="宋体" w:eastAsia="宋体" w:cs="宋体"/>
          <w:color w:val="auto"/>
        </w:rPr>
        <w:t>验收要求</w:t>
      </w:r>
    </w:p>
    <w:bookmarkEnd w:id="168"/>
    <w:bookmarkEnd w:id="169"/>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 xml:space="preserve"> 验收依据：采购文件、</w:t>
      </w:r>
      <w:r>
        <w:rPr>
          <w:rFonts w:hint="eastAsia" w:ascii="宋体" w:hAnsi="宋体" w:cs="宋体"/>
          <w:color w:val="auto"/>
          <w:sz w:val="24"/>
          <w:lang w:eastAsia="zh-CN"/>
        </w:rPr>
        <w:t>投标</w:t>
      </w:r>
      <w:r>
        <w:rPr>
          <w:rFonts w:hint="eastAsia" w:ascii="宋体" w:hAnsi="宋体" w:cs="宋体"/>
          <w:color w:val="auto"/>
          <w:sz w:val="24"/>
        </w:rPr>
        <w:t>文件、相关服务技术标准说明及国家有关的质量服务标准规定，均为验收依据。</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rPr>
        <w:t>验收时</w:t>
      </w:r>
      <w:r>
        <w:rPr>
          <w:rFonts w:hint="eastAsia" w:ascii="宋体" w:hAnsi="宋体" w:cs="宋体"/>
          <w:color w:val="auto"/>
          <w:sz w:val="24"/>
          <w:lang w:eastAsia="zh-CN"/>
        </w:rPr>
        <w:t>中标人</w:t>
      </w:r>
      <w:r>
        <w:rPr>
          <w:rFonts w:hint="eastAsia" w:ascii="宋体" w:hAnsi="宋体" w:cs="宋体"/>
          <w:color w:val="auto"/>
          <w:sz w:val="24"/>
        </w:rPr>
        <w:t>必须派代表参加。</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lang w:eastAsia="zh-CN"/>
        </w:rPr>
        <w:t>中标人</w:t>
      </w:r>
      <w:r>
        <w:rPr>
          <w:rFonts w:hint="eastAsia" w:ascii="宋体" w:hAnsi="宋体" w:cs="宋体"/>
          <w:color w:val="auto"/>
          <w:sz w:val="24"/>
        </w:rPr>
        <w:t>在服务及验收过程中若有出现安全事故，其责任及相应的赔偿均由</w:t>
      </w:r>
      <w:r>
        <w:rPr>
          <w:rFonts w:hint="eastAsia" w:ascii="宋体" w:hAnsi="宋体" w:cs="宋体"/>
          <w:color w:val="auto"/>
          <w:sz w:val="24"/>
          <w:lang w:eastAsia="zh-CN"/>
        </w:rPr>
        <w:t>中标人</w:t>
      </w:r>
      <w:r>
        <w:rPr>
          <w:rFonts w:hint="eastAsia" w:ascii="宋体" w:hAnsi="宋体" w:cs="宋体"/>
          <w:color w:val="auto"/>
          <w:sz w:val="24"/>
        </w:rPr>
        <w:t>自行承担，采购人不承担所有责任及义务。</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rPr>
        <w:t>因</w:t>
      </w:r>
      <w:r>
        <w:rPr>
          <w:rFonts w:hint="eastAsia" w:ascii="宋体" w:hAnsi="宋体" w:cs="宋体"/>
          <w:color w:val="auto"/>
          <w:sz w:val="24"/>
          <w:lang w:eastAsia="zh-CN"/>
        </w:rPr>
        <w:t>投标人</w:t>
      </w:r>
      <w:r>
        <w:rPr>
          <w:rFonts w:hint="eastAsia" w:ascii="宋体" w:hAnsi="宋体" w:cs="宋体"/>
          <w:color w:val="auto"/>
          <w:sz w:val="24"/>
        </w:rPr>
        <w:t>原因导致项目验收质量不合格的，采购人有权解除合同，且</w:t>
      </w:r>
      <w:r>
        <w:rPr>
          <w:rFonts w:hint="eastAsia" w:ascii="宋体" w:hAnsi="宋体" w:cs="宋体"/>
          <w:color w:val="auto"/>
          <w:sz w:val="24"/>
          <w:lang w:eastAsia="zh-CN"/>
        </w:rPr>
        <w:t>中标人</w:t>
      </w:r>
      <w:r>
        <w:rPr>
          <w:rFonts w:hint="eastAsia" w:ascii="宋体" w:hAnsi="宋体" w:cs="宋体"/>
          <w:color w:val="auto"/>
          <w:sz w:val="24"/>
        </w:rPr>
        <w:t>应负责赔偿采购人由此产生的一切损失。</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eastAsia="zh-CN"/>
        </w:rPr>
        <w:t>投标人</w:t>
      </w:r>
      <w:r>
        <w:rPr>
          <w:rFonts w:hint="eastAsia" w:ascii="宋体" w:hAnsi="宋体" w:cs="宋体"/>
          <w:color w:val="auto"/>
          <w:sz w:val="24"/>
        </w:rPr>
        <w:t>提供的服务内容成果必须符合国家和行业相关标准和规范要求。</w:t>
      </w:r>
      <w:r>
        <w:rPr>
          <w:rFonts w:hint="eastAsia" w:ascii="宋体" w:hAnsi="宋体" w:cs="宋体"/>
          <w:color w:val="auto"/>
          <w:sz w:val="24"/>
          <w:lang w:eastAsia="zh-CN"/>
        </w:rPr>
        <w:t>投标人</w:t>
      </w:r>
      <w:r>
        <w:rPr>
          <w:rFonts w:hint="eastAsia" w:ascii="宋体" w:hAnsi="宋体" w:cs="宋体"/>
          <w:color w:val="auto"/>
          <w:sz w:val="24"/>
        </w:rPr>
        <w:t>应在</w:t>
      </w:r>
      <w:r>
        <w:rPr>
          <w:rFonts w:hint="eastAsia" w:ascii="宋体" w:hAnsi="宋体" w:cs="宋体"/>
          <w:color w:val="auto"/>
          <w:sz w:val="24"/>
          <w:lang w:val="en-US" w:eastAsia="zh-CN"/>
        </w:rPr>
        <w:t>投标</w:t>
      </w:r>
      <w:r>
        <w:rPr>
          <w:rFonts w:hint="eastAsia" w:ascii="宋体" w:hAnsi="宋体" w:cs="宋体"/>
          <w:color w:val="auto"/>
          <w:sz w:val="24"/>
        </w:rPr>
        <w:t>文件中明确提供书面承诺，保证符合消防管理部门的各项要求，通过涉及的所有相关管理、检查或验收。</w:t>
      </w:r>
    </w:p>
    <w:p>
      <w:pPr>
        <w:numPr>
          <w:ilvl w:val="0"/>
          <w:numId w:val="4"/>
        </w:numPr>
        <w:rPr>
          <w:rStyle w:val="124"/>
          <w:rFonts w:ascii="宋体" w:hAnsi="宋体" w:eastAsia="宋体" w:cs="宋体"/>
          <w:color w:val="auto"/>
        </w:rPr>
      </w:pPr>
      <w:bookmarkStart w:id="170" w:name="_Toc17699"/>
      <w:bookmarkStart w:id="171" w:name="_Toc13515"/>
      <w:r>
        <w:rPr>
          <w:rStyle w:val="124"/>
          <w:rFonts w:hint="eastAsia" w:ascii="宋体" w:hAnsi="宋体" w:eastAsia="宋体" w:cs="宋体"/>
          <w:color w:val="auto"/>
        </w:rPr>
        <w:t>资格要求</w:t>
      </w:r>
    </w:p>
    <w:bookmarkEnd w:id="170"/>
    <w:bookmarkEnd w:id="171"/>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b/>
          <w:color w:val="auto"/>
          <w:sz w:val="24"/>
        </w:rPr>
        <w:t>必须在报价文件中提供加载有统一社会信用代码营业执照复印件</w:t>
      </w:r>
      <w:r>
        <w:rPr>
          <w:rFonts w:hint="eastAsia" w:ascii="宋体" w:hAnsi="宋体" w:cs="宋体"/>
          <w:b/>
          <w:color w:val="auto"/>
          <w:sz w:val="24"/>
        </w:rPr>
        <w:t>。</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报价代表若不是企业法定代表人，则应在报价文件中提供法人授权书原件, 并提供被授权代表身份证复印件。</w:t>
      </w:r>
    </w:p>
    <w:p>
      <w:pPr>
        <w:numPr>
          <w:ilvl w:val="1"/>
          <w:numId w:val="4"/>
        </w:numPr>
        <w:snapToGrid w:val="0"/>
        <w:spacing w:line="360" w:lineRule="auto"/>
        <w:ind w:left="205" w:leftChars="0" w:firstLineChars="0"/>
        <w:rPr>
          <w:rFonts w:ascii="宋体" w:hAnsi="宋体" w:cs="宋体"/>
          <w:color w:val="auto"/>
          <w:sz w:val="24"/>
        </w:rPr>
      </w:pPr>
      <w:r>
        <w:rPr>
          <w:rFonts w:hint="eastAsia" w:ascii="宋体" w:hAnsi="宋体" w:cs="宋体"/>
          <w:b/>
          <w:color w:val="auto"/>
          <w:sz w:val="24"/>
        </w:rPr>
        <w:t>*本项目不接受联合体报价。</w:t>
      </w:r>
    </w:p>
    <w:p>
      <w:pPr>
        <w:numPr>
          <w:ilvl w:val="1"/>
          <w:numId w:val="4"/>
        </w:numPr>
        <w:snapToGrid w:val="0"/>
        <w:spacing w:line="360" w:lineRule="auto"/>
        <w:ind w:left="205" w:leftChars="0" w:firstLineChars="0"/>
        <w:rPr>
          <w:rFonts w:ascii="宋体" w:hAnsi="宋体" w:cs="宋体"/>
          <w:b/>
          <w:color w:val="auto"/>
          <w:sz w:val="24"/>
        </w:rPr>
      </w:pPr>
      <w:r>
        <w:rPr>
          <w:rFonts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需承诺：单位负责人为同一人或者存在控股、管理关系的不同单位，不得参加同一标段投标或者未划分标段的同一招标项目投标。</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经营范围应包含电气安装或设备安装或软件开发或信息系统集成服务，需提供营业执照复印件并加盖公章。</w:t>
      </w:r>
    </w:p>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w:t>
      </w:r>
      <w:r>
        <w:rPr>
          <w:rFonts w:hint="eastAsia" w:ascii="宋体" w:hAnsi="宋体" w:cs="宋体"/>
          <w:b/>
          <w:color w:val="auto"/>
          <w:sz w:val="24"/>
          <w:lang w:eastAsia="zh-CN"/>
        </w:rPr>
        <w:t>投标人</w:t>
      </w:r>
      <w:r>
        <w:rPr>
          <w:rFonts w:hint="eastAsia" w:ascii="宋体" w:hAnsi="宋体" w:cs="宋体"/>
          <w:b/>
          <w:color w:val="auto"/>
          <w:sz w:val="24"/>
        </w:rPr>
        <w:t>应具备电子与智能化工程专业承包</w:t>
      </w:r>
      <w:r>
        <w:rPr>
          <w:rFonts w:hint="eastAsia" w:ascii="宋体" w:hAnsi="宋体" w:cs="宋体"/>
          <w:b/>
          <w:color w:val="auto"/>
          <w:sz w:val="24"/>
          <w:lang w:eastAsia="zh-CN"/>
        </w:rPr>
        <w:t>二级（含）以上资质</w:t>
      </w:r>
      <w:r>
        <w:rPr>
          <w:rFonts w:hint="eastAsia" w:ascii="宋体" w:hAnsi="宋体" w:cs="宋体"/>
          <w:b/>
          <w:color w:val="auto"/>
          <w:sz w:val="24"/>
        </w:rPr>
        <w:t>，需提供资质证书复印件并加盖公章。</w:t>
      </w:r>
    </w:p>
    <w:p>
      <w:pPr>
        <w:numPr>
          <w:ilvl w:val="255"/>
          <w:numId w:val="0"/>
        </w:numPr>
        <w:snapToGrid w:val="0"/>
        <w:spacing w:line="360" w:lineRule="auto"/>
        <w:ind w:left="568"/>
        <w:rPr>
          <w:rFonts w:ascii="宋体" w:hAnsi="宋体" w:cs="宋体"/>
          <w:b/>
          <w:color w:val="auto"/>
          <w:sz w:val="24"/>
        </w:rPr>
      </w:pPr>
    </w:p>
    <w:p>
      <w:pPr>
        <w:numPr>
          <w:ilvl w:val="0"/>
          <w:numId w:val="4"/>
        </w:numPr>
        <w:rPr>
          <w:rStyle w:val="124"/>
          <w:rFonts w:ascii="宋体" w:hAnsi="宋体" w:eastAsia="宋体" w:cs="宋体"/>
          <w:color w:val="auto"/>
        </w:rPr>
      </w:pPr>
      <w:bookmarkStart w:id="172" w:name="_Toc8205"/>
      <w:bookmarkStart w:id="173" w:name="_Toc21339"/>
      <w:bookmarkStart w:id="174" w:name="_Toc144702586"/>
      <w:r>
        <w:rPr>
          <w:rStyle w:val="124"/>
          <w:rFonts w:hint="eastAsia" w:ascii="宋体" w:hAnsi="宋体" w:eastAsia="宋体" w:cs="宋体"/>
          <w:color w:val="auto"/>
        </w:rPr>
        <w:t>踏勘现场</w:t>
      </w:r>
    </w:p>
    <w:bookmarkEnd w:id="172"/>
    <w:bookmarkEnd w:id="173"/>
    <w:p>
      <w:pPr>
        <w:numPr>
          <w:ilvl w:val="1"/>
          <w:numId w:val="4"/>
        </w:numPr>
        <w:snapToGrid w:val="0"/>
        <w:spacing w:line="360" w:lineRule="auto"/>
        <w:ind w:left="205" w:leftChars="0" w:firstLineChars="0"/>
        <w:rPr>
          <w:rFonts w:ascii="宋体" w:hAnsi="宋体" w:cs="宋体"/>
          <w:b/>
          <w:color w:val="auto"/>
          <w:sz w:val="24"/>
        </w:rPr>
      </w:pPr>
      <w:r>
        <w:rPr>
          <w:rFonts w:hint="eastAsia" w:ascii="宋体" w:hAnsi="宋体" w:cs="宋体"/>
          <w:b/>
          <w:color w:val="auto"/>
          <w:sz w:val="24"/>
        </w:rPr>
        <w:t>踏勘现场联系人：</w:t>
      </w:r>
      <w:r>
        <w:rPr>
          <w:rFonts w:hint="eastAsia" w:ascii="宋体" w:hAnsi="宋体" w:cs="宋体"/>
          <w:b/>
          <w:color w:val="auto"/>
          <w:sz w:val="24"/>
          <w:lang w:val="en-US" w:eastAsia="zh-CN"/>
        </w:rPr>
        <w:t xml:space="preserve">          </w:t>
      </w:r>
      <w:r>
        <w:rPr>
          <w:rFonts w:hint="eastAsia" w:ascii="宋体" w:hAnsi="宋体" w:cs="宋体"/>
          <w:b/>
          <w:color w:val="auto"/>
          <w:sz w:val="24"/>
        </w:rPr>
        <w:t>，踏勘地点：</w:t>
      </w:r>
      <w:r>
        <w:rPr>
          <w:rFonts w:hint="eastAsia" w:ascii="宋体" w:hAnsi="宋体" w:cs="宋体"/>
          <w:b/>
          <w:color w:val="auto"/>
          <w:sz w:val="24"/>
          <w:u w:val="single"/>
        </w:rPr>
        <w:t>五缘湾游艇港</w:t>
      </w:r>
    </w:p>
    <w:p>
      <w:pPr>
        <w:numPr>
          <w:ilvl w:val="1"/>
          <w:numId w:val="4"/>
        </w:numPr>
        <w:snapToGrid w:val="0"/>
        <w:spacing w:line="360" w:lineRule="auto"/>
        <w:ind w:left="205" w:leftChars="0" w:firstLineChars="0"/>
        <w:rPr>
          <w:rFonts w:ascii="宋体" w:hAnsi="宋体" w:cs="宋体"/>
          <w:color w:val="auto"/>
          <w:sz w:val="24"/>
        </w:rPr>
      </w:pPr>
      <w:r>
        <w:rPr>
          <w:rFonts w:hint="eastAsia" w:ascii="宋体" w:hAnsi="宋体" w:cs="宋体"/>
          <w:color w:val="auto"/>
          <w:sz w:val="24"/>
          <w:szCs w:val="21"/>
          <w:lang w:eastAsia="zh-CN"/>
        </w:rPr>
        <w:t>投标人</w:t>
      </w:r>
      <w:r>
        <w:rPr>
          <w:rFonts w:hint="eastAsia" w:ascii="宋体" w:hAnsi="宋体" w:cs="宋体"/>
          <w:color w:val="auto"/>
          <w:sz w:val="24"/>
          <w:szCs w:val="21"/>
        </w:rPr>
        <w:t>应对本项目现场及周围环境进行仔细认真的踏勘，以便获取有关编制</w:t>
      </w:r>
      <w:r>
        <w:rPr>
          <w:rFonts w:hint="eastAsia" w:ascii="宋体" w:hAnsi="宋体" w:cs="宋体"/>
          <w:color w:val="auto"/>
          <w:sz w:val="24"/>
          <w:szCs w:val="21"/>
          <w:lang w:eastAsia="zh-CN"/>
        </w:rPr>
        <w:t>投标</w:t>
      </w:r>
      <w:r>
        <w:rPr>
          <w:rFonts w:hint="eastAsia" w:ascii="宋体" w:hAnsi="宋体" w:cs="宋体"/>
          <w:color w:val="auto"/>
          <w:sz w:val="24"/>
          <w:szCs w:val="21"/>
        </w:rPr>
        <w:t>文件和签订合同所涉及现场的资料。</w:t>
      </w:r>
      <w:r>
        <w:rPr>
          <w:rFonts w:hint="eastAsia" w:ascii="宋体" w:hAnsi="宋体" w:cs="宋体"/>
          <w:color w:val="auto"/>
          <w:sz w:val="24"/>
          <w:szCs w:val="21"/>
          <w:lang w:eastAsia="zh-CN"/>
        </w:rPr>
        <w:t>投标人</w:t>
      </w:r>
      <w:r>
        <w:rPr>
          <w:rFonts w:hint="eastAsia" w:ascii="宋体" w:hAnsi="宋体" w:cs="宋体"/>
          <w:color w:val="auto"/>
          <w:sz w:val="24"/>
          <w:szCs w:val="21"/>
        </w:rPr>
        <w:t>承担踏勘现场所发生的自身费用</w:t>
      </w:r>
      <w:r>
        <w:rPr>
          <w:rFonts w:hint="eastAsia" w:ascii="宋体" w:hAnsi="宋体" w:cs="宋体"/>
          <w:color w:val="auto"/>
          <w:sz w:val="24"/>
        </w:rPr>
        <w:t>。</w:t>
      </w:r>
    </w:p>
    <w:p>
      <w:pPr>
        <w:numPr>
          <w:ilvl w:val="1"/>
          <w:numId w:val="4"/>
        </w:numPr>
        <w:snapToGrid w:val="0"/>
        <w:spacing w:line="360" w:lineRule="auto"/>
        <w:ind w:left="205" w:leftChars="0" w:firstLineChars="0"/>
        <w:rPr>
          <w:rFonts w:ascii="宋体" w:hAnsi="宋体" w:cs="宋体"/>
          <w:color w:val="auto"/>
          <w:sz w:val="24"/>
        </w:rPr>
      </w:pPr>
      <w:r>
        <w:rPr>
          <w:rFonts w:hint="eastAsia" w:ascii="宋体" w:hAnsi="宋体" w:cs="宋体"/>
          <w:color w:val="auto"/>
          <w:sz w:val="24"/>
          <w:szCs w:val="21"/>
        </w:rPr>
        <w:t>采购人向</w:t>
      </w:r>
      <w:r>
        <w:rPr>
          <w:rFonts w:hint="eastAsia" w:ascii="宋体" w:hAnsi="宋体" w:cs="宋体"/>
          <w:color w:val="auto"/>
          <w:sz w:val="24"/>
          <w:szCs w:val="21"/>
          <w:lang w:eastAsia="zh-CN"/>
        </w:rPr>
        <w:t>投标人</w:t>
      </w:r>
      <w:r>
        <w:rPr>
          <w:rFonts w:hint="eastAsia" w:ascii="宋体" w:hAnsi="宋体" w:cs="宋体"/>
          <w:color w:val="auto"/>
          <w:sz w:val="24"/>
          <w:szCs w:val="21"/>
        </w:rPr>
        <w:t>提供的有关现场的数据和资料，是采购人现有的能被</w:t>
      </w:r>
      <w:r>
        <w:rPr>
          <w:rFonts w:hint="eastAsia" w:ascii="宋体" w:hAnsi="宋体" w:cs="宋体"/>
          <w:color w:val="auto"/>
          <w:sz w:val="24"/>
          <w:szCs w:val="21"/>
          <w:lang w:eastAsia="zh-CN"/>
        </w:rPr>
        <w:t>投标人</w:t>
      </w:r>
      <w:r>
        <w:rPr>
          <w:rFonts w:hint="eastAsia" w:ascii="宋体" w:hAnsi="宋体" w:cs="宋体"/>
          <w:color w:val="auto"/>
          <w:sz w:val="24"/>
          <w:szCs w:val="21"/>
        </w:rPr>
        <w:t>利用的资料，采购人对</w:t>
      </w:r>
      <w:r>
        <w:rPr>
          <w:rFonts w:hint="eastAsia" w:ascii="宋体" w:hAnsi="宋体" w:cs="宋体"/>
          <w:color w:val="auto"/>
          <w:sz w:val="24"/>
          <w:szCs w:val="21"/>
          <w:lang w:eastAsia="zh-CN"/>
        </w:rPr>
        <w:t>投标人</w:t>
      </w:r>
      <w:r>
        <w:rPr>
          <w:rFonts w:hint="eastAsia" w:ascii="宋体" w:hAnsi="宋体" w:cs="宋体"/>
          <w:color w:val="auto"/>
          <w:sz w:val="24"/>
          <w:szCs w:val="21"/>
        </w:rPr>
        <w:t>做出的任何推论、理解和结论均不负责任</w:t>
      </w:r>
      <w:r>
        <w:rPr>
          <w:rFonts w:hint="eastAsia" w:ascii="宋体" w:hAnsi="宋体" w:cs="宋体"/>
          <w:color w:val="auto"/>
          <w:sz w:val="24"/>
        </w:rPr>
        <w:t>。</w:t>
      </w:r>
    </w:p>
    <w:bookmarkEnd w:id="174"/>
    <w:p>
      <w:pPr>
        <w:numPr>
          <w:ilvl w:val="0"/>
          <w:numId w:val="4"/>
        </w:numPr>
        <w:rPr>
          <w:rStyle w:val="124"/>
          <w:rFonts w:ascii="宋体" w:hAnsi="宋体" w:eastAsia="宋体" w:cs="宋体"/>
          <w:color w:val="auto"/>
        </w:rPr>
      </w:pPr>
      <w:bookmarkStart w:id="175" w:name="_Toc26258"/>
      <w:bookmarkStart w:id="176" w:name="_Toc13775"/>
      <w:r>
        <w:rPr>
          <w:rStyle w:val="124"/>
          <w:rFonts w:hint="eastAsia" w:ascii="宋体" w:hAnsi="宋体" w:eastAsia="宋体" w:cs="宋体"/>
          <w:color w:val="auto"/>
        </w:rPr>
        <w:t>报价要求</w:t>
      </w:r>
    </w:p>
    <w:bookmarkEnd w:id="175"/>
    <w:bookmarkEnd w:id="176"/>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本项目为整体采购项目，</w:t>
      </w:r>
      <w:r>
        <w:rPr>
          <w:rFonts w:hint="eastAsia" w:ascii="宋体" w:hAnsi="宋体" w:cs="宋体"/>
          <w:color w:val="auto"/>
          <w:sz w:val="24"/>
          <w:lang w:eastAsia="zh-CN"/>
        </w:rPr>
        <w:t>投标</w:t>
      </w:r>
      <w:r>
        <w:rPr>
          <w:rFonts w:hint="eastAsia" w:ascii="宋体" w:hAnsi="宋体" w:cs="宋体"/>
          <w:color w:val="auto"/>
          <w:sz w:val="24"/>
        </w:rPr>
        <w:t>人报价时对项目中所有的内容必须完整响应，否则将视为无效报价。</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本次采购报价应以人民币为货币单位，应分单价、小计和总价,报价为含税价。</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本次采购的总报价包含为完成本项目所有可能发生的费用包括但不限于维护保养费、人员工资、运输费、常用工具费、服务所需的备品配件、税费、采购代理服务费、售后服务等所有与完成本项目有关的一切费用。</w:t>
      </w:r>
      <w:r>
        <w:rPr>
          <w:rFonts w:hint="eastAsia" w:ascii="宋体" w:hAnsi="宋体" w:cs="宋体"/>
          <w:color w:val="auto"/>
          <w:sz w:val="24"/>
          <w:szCs w:val="21"/>
          <w:lang w:eastAsia="zh-CN"/>
        </w:rPr>
        <w:t>投标人</w:t>
      </w:r>
      <w:r>
        <w:rPr>
          <w:rFonts w:hint="eastAsia" w:ascii="宋体" w:hAnsi="宋体" w:cs="宋体"/>
          <w:color w:val="auto"/>
          <w:sz w:val="24"/>
          <w:szCs w:val="21"/>
        </w:rPr>
        <w:t>一旦</w:t>
      </w:r>
      <w:r>
        <w:rPr>
          <w:rFonts w:hint="eastAsia" w:ascii="宋体" w:hAnsi="宋体" w:cs="宋体"/>
          <w:color w:val="auto"/>
          <w:sz w:val="24"/>
          <w:szCs w:val="21"/>
          <w:lang w:eastAsia="zh-CN"/>
        </w:rPr>
        <w:t>中标</w:t>
      </w:r>
      <w:r>
        <w:rPr>
          <w:rFonts w:hint="eastAsia" w:ascii="宋体" w:hAnsi="宋体" w:cs="宋体"/>
          <w:color w:val="auto"/>
          <w:sz w:val="24"/>
          <w:szCs w:val="21"/>
        </w:rPr>
        <w:t>，采购人将不会对其报价做出其他补偿</w:t>
      </w:r>
      <w:r>
        <w:rPr>
          <w:rFonts w:hint="eastAsia" w:ascii="宋体" w:hAnsi="宋体" w:cs="宋体"/>
          <w:color w:val="auto"/>
          <w:sz w:val="24"/>
        </w:rPr>
        <w:t>。</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lang w:eastAsia="zh-CN"/>
        </w:rPr>
        <w:t>投标</w:t>
      </w:r>
      <w:r>
        <w:rPr>
          <w:rFonts w:hint="eastAsia" w:ascii="宋体" w:hAnsi="宋体" w:cs="宋体"/>
          <w:color w:val="auto"/>
          <w:sz w:val="24"/>
        </w:rPr>
        <w:t>人漏报的单价或每单价报价中漏报、少报的费用，视为此项费用已隐含在总报价中，</w:t>
      </w:r>
      <w:r>
        <w:rPr>
          <w:rFonts w:hint="eastAsia" w:ascii="宋体" w:hAnsi="宋体" w:cs="宋体"/>
          <w:color w:val="auto"/>
          <w:sz w:val="24"/>
          <w:lang w:eastAsia="zh-CN"/>
        </w:rPr>
        <w:t>中标</w:t>
      </w:r>
      <w:r>
        <w:rPr>
          <w:rFonts w:hint="eastAsia" w:ascii="宋体" w:hAnsi="宋体" w:cs="宋体"/>
          <w:color w:val="auto"/>
          <w:sz w:val="24"/>
        </w:rPr>
        <w:t>后不得再向采购人收取任何费用。</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szCs w:val="21"/>
          <w:lang w:eastAsia="zh-CN"/>
        </w:rPr>
        <w:t>投标人</w:t>
      </w:r>
      <w:r>
        <w:rPr>
          <w:rFonts w:hint="eastAsia" w:ascii="宋体" w:hAnsi="宋体" w:cs="宋体"/>
          <w:color w:val="auto"/>
          <w:sz w:val="24"/>
          <w:szCs w:val="21"/>
        </w:rPr>
        <w:t>对本项目只能提供唯一方案、唯一投标，采购人不接受任何有选择的投标报价。</w:t>
      </w:r>
    </w:p>
    <w:p>
      <w:pPr>
        <w:numPr>
          <w:ilvl w:val="1"/>
          <w:numId w:val="4"/>
        </w:numPr>
        <w:tabs>
          <w:tab w:val="left" w:pos="964"/>
          <w:tab w:val="left" w:pos="992"/>
        </w:tabs>
        <w:spacing w:line="460" w:lineRule="exact"/>
        <w:ind w:left="205" w:leftChars="0" w:firstLineChars="0"/>
        <w:rPr>
          <w:rFonts w:ascii="宋体" w:hAnsi="宋体" w:cs="宋体"/>
          <w:b/>
          <w:color w:val="auto"/>
          <w:sz w:val="24"/>
        </w:rPr>
      </w:pPr>
      <w:r>
        <w:rPr>
          <w:rFonts w:hint="eastAsia" w:ascii="宋体" w:hAnsi="宋体" w:cs="宋体"/>
          <w:b/>
          <w:color w:val="auto"/>
          <w:sz w:val="24"/>
        </w:rPr>
        <w:t>*本项目采购最高含税限价为人民币</w:t>
      </w:r>
      <w:r>
        <w:rPr>
          <w:rFonts w:hint="eastAsia" w:ascii="宋体" w:hAnsi="宋体" w:cs="宋体"/>
          <w:b/>
          <w:color w:val="auto"/>
          <w:sz w:val="24"/>
          <w:lang w:val="en-US" w:eastAsia="zh-CN"/>
        </w:rPr>
        <w:t>45</w:t>
      </w:r>
      <w:r>
        <w:rPr>
          <w:rFonts w:hint="eastAsia" w:ascii="宋体" w:hAnsi="宋体" w:cs="宋体"/>
          <w:b/>
          <w:color w:val="auto"/>
          <w:sz w:val="24"/>
        </w:rPr>
        <w:t>万元，</w:t>
      </w:r>
      <w:r>
        <w:rPr>
          <w:rFonts w:hint="eastAsia" w:ascii="宋体" w:hAnsi="宋体" w:cs="宋体"/>
          <w:b/>
          <w:color w:val="auto"/>
          <w:sz w:val="24"/>
          <w:lang w:eastAsia="zh-CN"/>
        </w:rPr>
        <w:t>投标人</w:t>
      </w:r>
      <w:r>
        <w:rPr>
          <w:rFonts w:hint="eastAsia" w:ascii="宋体" w:hAnsi="宋体" w:cs="宋体"/>
          <w:b/>
          <w:color w:val="auto"/>
          <w:sz w:val="24"/>
        </w:rPr>
        <w:t>报价不能超过最高限价，否则为无效报价。</w:t>
      </w:r>
    </w:p>
    <w:p>
      <w:pPr>
        <w:numPr>
          <w:ilvl w:val="1"/>
          <w:numId w:val="4"/>
        </w:numPr>
        <w:tabs>
          <w:tab w:val="left" w:pos="964"/>
          <w:tab w:val="left" w:pos="992"/>
        </w:tabs>
        <w:spacing w:line="460" w:lineRule="exact"/>
        <w:ind w:left="205" w:leftChars="0" w:firstLineChars="0"/>
        <w:rPr>
          <w:rFonts w:ascii="宋体" w:hAnsi="宋体" w:cs="宋体"/>
          <w:color w:val="auto"/>
          <w:sz w:val="24"/>
        </w:rPr>
      </w:pPr>
      <w:r>
        <w:rPr>
          <w:rFonts w:hint="eastAsia" w:ascii="宋体" w:hAnsi="宋体" w:cs="宋体"/>
          <w:color w:val="auto"/>
          <w:sz w:val="24"/>
        </w:rPr>
        <w:t>采购人付款时，</w:t>
      </w:r>
      <w:r>
        <w:rPr>
          <w:rFonts w:hint="eastAsia" w:ascii="宋体" w:hAnsi="宋体" w:cs="宋体"/>
          <w:color w:val="auto"/>
          <w:sz w:val="24"/>
          <w:lang w:eastAsia="zh-CN"/>
        </w:rPr>
        <w:t>中标人</w:t>
      </w:r>
      <w:r>
        <w:rPr>
          <w:rFonts w:hint="eastAsia" w:ascii="宋体" w:hAnsi="宋体" w:cs="宋体"/>
          <w:color w:val="auto"/>
          <w:sz w:val="24"/>
        </w:rPr>
        <w:t>必须提供增值税专用发票。</w:t>
      </w:r>
      <w:r>
        <w:rPr>
          <w:rFonts w:hint="eastAsia" w:ascii="宋体" w:hAnsi="宋体" w:cs="宋体"/>
          <w:color w:val="auto"/>
          <w:sz w:val="24"/>
          <w:lang w:eastAsia="zh-CN"/>
        </w:rPr>
        <w:t>投标人</w:t>
      </w:r>
      <w:r>
        <w:rPr>
          <w:rFonts w:hint="eastAsia" w:ascii="宋体" w:hAnsi="宋体" w:cs="宋体"/>
          <w:color w:val="auto"/>
          <w:sz w:val="24"/>
        </w:rPr>
        <w:t>需在</w:t>
      </w:r>
      <w:r>
        <w:rPr>
          <w:rFonts w:hint="eastAsia" w:ascii="宋体" w:hAnsi="宋体" w:cs="宋体"/>
          <w:color w:val="auto"/>
          <w:sz w:val="24"/>
          <w:lang w:eastAsia="zh-CN"/>
        </w:rPr>
        <w:t>招标</w:t>
      </w:r>
      <w:r>
        <w:rPr>
          <w:rFonts w:hint="eastAsia" w:ascii="宋体" w:hAnsi="宋体" w:cs="宋体"/>
          <w:color w:val="auto"/>
          <w:sz w:val="24"/>
        </w:rPr>
        <w:t>文件中承诺可提供增值税专用发票，并注明发票税率或征收率；否则采购人有权拒绝支付相应款项。</w:t>
      </w:r>
    </w:p>
    <w:p>
      <w:pPr>
        <w:numPr>
          <w:ilvl w:val="0"/>
          <w:numId w:val="4"/>
        </w:numPr>
        <w:rPr>
          <w:rStyle w:val="124"/>
          <w:rFonts w:ascii="宋体" w:hAnsi="宋体" w:eastAsia="宋体" w:cs="宋体"/>
          <w:color w:val="auto"/>
        </w:rPr>
      </w:pPr>
      <w:bookmarkStart w:id="177" w:name="_Toc12074"/>
      <w:bookmarkStart w:id="178" w:name="_Toc5625"/>
      <w:r>
        <w:rPr>
          <w:rStyle w:val="124"/>
          <w:rFonts w:hint="eastAsia" w:ascii="宋体" w:hAnsi="宋体" w:eastAsia="宋体" w:cs="宋体"/>
          <w:color w:val="auto"/>
        </w:rPr>
        <w:t>合同签订</w:t>
      </w:r>
    </w:p>
    <w:bookmarkEnd w:id="177"/>
    <w:bookmarkEnd w:id="178"/>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lang w:eastAsia="zh-CN"/>
        </w:rPr>
        <w:t>中标人</w:t>
      </w:r>
      <w:r>
        <w:rPr>
          <w:rFonts w:hint="eastAsia" w:ascii="宋体" w:hAnsi="宋体" w:cs="宋体"/>
          <w:color w:val="auto"/>
          <w:sz w:val="24"/>
          <w:szCs w:val="21"/>
        </w:rPr>
        <w:t>接到</w:t>
      </w:r>
      <w:r>
        <w:rPr>
          <w:rFonts w:hint="eastAsia" w:ascii="宋体" w:hAnsi="宋体" w:cs="宋体"/>
          <w:color w:val="auto"/>
          <w:sz w:val="24"/>
          <w:szCs w:val="21"/>
          <w:lang w:eastAsia="zh-CN"/>
        </w:rPr>
        <w:t>中标</w:t>
      </w:r>
      <w:r>
        <w:rPr>
          <w:rFonts w:hint="eastAsia" w:ascii="宋体" w:hAnsi="宋体" w:cs="宋体"/>
          <w:color w:val="auto"/>
          <w:sz w:val="24"/>
          <w:szCs w:val="21"/>
        </w:rPr>
        <w:t>通知书后的30个日历日内，持</w:t>
      </w:r>
      <w:r>
        <w:rPr>
          <w:rFonts w:hint="eastAsia" w:ascii="宋体" w:hAnsi="宋体" w:cs="宋体"/>
          <w:color w:val="auto"/>
          <w:sz w:val="24"/>
          <w:szCs w:val="21"/>
          <w:lang w:eastAsia="zh-CN"/>
        </w:rPr>
        <w:t>中标</w:t>
      </w:r>
      <w:r>
        <w:rPr>
          <w:rFonts w:hint="eastAsia" w:ascii="宋体" w:hAnsi="宋体" w:cs="宋体"/>
          <w:color w:val="auto"/>
          <w:sz w:val="24"/>
          <w:szCs w:val="21"/>
        </w:rPr>
        <w:t>通知书与采购人签订合同，</w:t>
      </w:r>
      <w:r>
        <w:rPr>
          <w:rFonts w:hint="eastAsia" w:ascii="宋体" w:hAnsi="宋体" w:cs="宋体"/>
          <w:color w:val="auto"/>
          <w:sz w:val="24"/>
          <w:szCs w:val="21"/>
          <w:lang w:eastAsia="zh-CN"/>
        </w:rPr>
        <w:t>招标</w:t>
      </w:r>
      <w:r>
        <w:rPr>
          <w:rFonts w:hint="eastAsia" w:ascii="宋体" w:hAnsi="宋体" w:cs="宋体"/>
          <w:color w:val="auto"/>
          <w:sz w:val="24"/>
          <w:szCs w:val="21"/>
        </w:rPr>
        <w:t>文件、</w:t>
      </w:r>
      <w:r>
        <w:rPr>
          <w:rFonts w:hint="eastAsia" w:ascii="宋体" w:hAnsi="宋体" w:cs="宋体"/>
          <w:color w:val="auto"/>
          <w:sz w:val="24"/>
          <w:szCs w:val="21"/>
          <w:lang w:eastAsia="zh-CN"/>
        </w:rPr>
        <w:t>中标人</w:t>
      </w:r>
      <w:r>
        <w:rPr>
          <w:rFonts w:hint="eastAsia" w:ascii="宋体" w:hAnsi="宋体" w:cs="宋体"/>
          <w:color w:val="auto"/>
          <w:sz w:val="24"/>
          <w:szCs w:val="21"/>
        </w:rPr>
        <w:t>的</w:t>
      </w:r>
      <w:r>
        <w:rPr>
          <w:rFonts w:hint="eastAsia" w:ascii="宋体" w:hAnsi="宋体" w:cs="宋体"/>
          <w:color w:val="auto"/>
          <w:sz w:val="24"/>
          <w:szCs w:val="21"/>
          <w:lang w:eastAsia="zh-CN"/>
        </w:rPr>
        <w:t>投标</w:t>
      </w:r>
      <w:r>
        <w:rPr>
          <w:rFonts w:hint="eastAsia" w:ascii="宋体" w:hAnsi="宋体" w:cs="宋体"/>
          <w:color w:val="auto"/>
          <w:sz w:val="24"/>
          <w:szCs w:val="21"/>
        </w:rPr>
        <w:t>文件均作为合同订立的基础。</w:t>
      </w:r>
      <w:r>
        <w:rPr>
          <w:rFonts w:hint="eastAsia" w:ascii="宋体" w:hAnsi="宋体" w:cs="宋体"/>
          <w:color w:val="auto"/>
          <w:sz w:val="24"/>
          <w:szCs w:val="21"/>
          <w:lang w:eastAsia="zh-CN"/>
        </w:rPr>
        <w:t>中标人</w:t>
      </w:r>
      <w:r>
        <w:rPr>
          <w:rFonts w:hint="eastAsia" w:ascii="宋体" w:hAnsi="宋体" w:cs="宋体"/>
          <w:color w:val="auto"/>
          <w:kern w:val="0"/>
          <w:sz w:val="24"/>
          <w:szCs w:val="21"/>
        </w:rPr>
        <w:t>超过前述期限5天内不与采购人签订合同的或者被查实存在影响</w:t>
      </w:r>
      <w:r>
        <w:rPr>
          <w:rFonts w:hint="eastAsia" w:ascii="宋体" w:hAnsi="宋体" w:cs="宋体"/>
          <w:color w:val="auto"/>
          <w:kern w:val="0"/>
          <w:sz w:val="24"/>
          <w:szCs w:val="21"/>
          <w:lang w:eastAsia="zh-CN"/>
        </w:rPr>
        <w:t>中标</w:t>
      </w:r>
      <w:r>
        <w:rPr>
          <w:rFonts w:hint="eastAsia" w:ascii="宋体" w:hAnsi="宋体" w:cs="宋体"/>
          <w:color w:val="auto"/>
          <w:kern w:val="0"/>
          <w:sz w:val="24"/>
          <w:szCs w:val="21"/>
        </w:rPr>
        <w:t>结果的违法行为或其他不符合</w:t>
      </w:r>
      <w:r>
        <w:rPr>
          <w:rFonts w:hint="eastAsia" w:ascii="宋体" w:hAnsi="宋体" w:cs="宋体"/>
          <w:color w:val="auto"/>
          <w:kern w:val="0"/>
          <w:sz w:val="24"/>
          <w:szCs w:val="21"/>
          <w:lang w:eastAsia="zh-CN"/>
        </w:rPr>
        <w:t>中标</w:t>
      </w:r>
      <w:r>
        <w:rPr>
          <w:rFonts w:hint="eastAsia" w:ascii="宋体" w:hAnsi="宋体" w:cs="宋体"/>
          <w:color w:val="auto"/>
          <w:kern w:val="0"/>
          <w:sz w:val="24"/>
          <w:szCs w:val="21"/>
        </w:rPr>
        <w:t>条件情形的，采购人有权取消其</w:t>
      </w:r>
      <w:r>
        <w:rPr>
          <w:rFonts w:hint="eastAsia" w:ascii="宋体" w:hAnsi="宋体" w:cs="宋体"/>
          <w:color w:val="auto"/>
          <w:kern w:val="0"/>
          <w:sz w:val="24"/>
          <w:szCs w:val="21"/>
          <w:lang w:eastAsia="zh-CN"/>
        </w:rPr>
        <w:t>中标</w:t>
      </w:r>
      <w:r>
        <w:rPr>
          <w:rFonts w:hint="eastAsia" w:ascii="宋体" w:hAnsi="宋体" w:cs="宋体"/>
          <w:color w:val="auto"/>
          <w:kern w:val="0"/>
          <w:sz w:val="24"/>
          <w:szCs w:val="21"/>
        </w:rPr>
        <w:t>资格，并没收其保证金，给采购人造成的损失超过保证金数额的，还应当对超过部分予以赔偿，同时依法承担相应法律责任。出现此种情形，采购人有权按推荐</w:t>
      </w:r>
      <w:r>
        <w:rPr>
          <w:rFonts w:hint="eastAsia" w:ascii="宋体" w:hAnsi="宋体" w:cs="宋体"/>
          <w:color w:val="auto"/>
          <w:kern w:val="0"/>
          <w:sz w:val="24"/>
          <w:szCs w:val="21"/>
          <w:lang w:eastAsia="zh-CN"/>
        </w:rPr>
        <w:t>中标</w:t>
      </w:r>
      <w:r>
        <w:rPr>
          <w:rFonts w:hint="eastAsia" w:ascii="宋体" w:hAnsi="宋体" w:cs="宋体"/>
          <w:color w:val="auto"/>
          <w:kern w:val="0"/>
          <w:sz w:val="24"/>
          <w:szCs w:val="21"/>
        </w:rPr>
        <w:t>候选</w:t>
      </w:r>
      <w:r>
        <w:rPr>
          <w:rFonts w:hint="eastAsia" w:ascii="宋体" w:hAnsi="宋体" w:cs="宋体"/>
          <w:color w:val="auto"/>
          <w:kern w:val="0"/>
          <w:sz w:val="24"/>
          <w:szCs w:val="21"/>
          <w:lang w:eastAsia="zh-CN"/>
        </w:rPr>
        <w:t>投标人</w:t>
      </w:r>
      <w:r>
        <w:rPr>
          <w:rFonts w:hint="eastAsia" w:ascii="宋体" w:hAnsi="宋体" w:cs="宋体"/>
          <w:color w:val="auto"/>
          <w:kern w:val="0"/>
          <w:sz w:val="24"/>
          <w:szCs w:val="21"/>
        </w:rPr>
        <w:t>的顺序确定其他</w:t>
      </w:r>
      <w:r>
        <w:rPr>
          <w:rFonts w:hint="eastAsia" w:ascii="宋体" w:hAnsi="宋体" w:cs="宋体"/>
          <w:color w:val="auto"/>
          <w:kern w:val="0"/>
          <w:sz w:val="24"/>
          <w:szCs w:val="21"/>
          <w:lang w:eastAsia="zh-CN"/>
        </w:rPr>
        <w:t>投标</w:t>
      </w:r>
      <w:r>
        <w:rPr>
          <w:rFonts w:hint="eastAsia" w:ascii="宋体" w:hAnsi="宋体" w:cs="宋体"/>
          <w:color w:val="auto"/>
          <w:kern w:val="0"/>
          <w:sz w:val="24"/>
          <w:szCs w:val="21"/>
        </w:rPr>
        <w:t>人为新的</w:t>
      </w:r>
      <w:r>
        <w:rPr>
          <w:rFonts w:hint="eastAsia" w:ascii="宋体" w:hAnsi="宋体" w:cs="宋体"/>
          <w:color w:val="auto"/>
          <w:kern w:val="0"/>
          <w:sz w:val="24"/>
          <w:szCs w:val="21"/>
          <w:lang w:eastAsia="zh-CN"/>
        </w:rPr>
        <w:t>中标人</w:t>
      </w:r>
      <w:r>
        <w:rPr>
          <w:rFonts w:hint="eastAsia" w:ascii="宋体" w:hAnsi="宋体" w:cs="宋体"/>
          <w:color w:val="auto"/>
          <w:kern w:val="0"/>
          <w:sz w:val="24"/>
          <w:szCs w:val="21"/>
        </w:rPr>
        <w:t>，也有权重新采购或变更采购方式</w:t>
      </w:r>
      <w:r>
        <w:rPr>
          <w:rFonts w:hint="eastAsia" w:ascii="宋体" w:hAnsi="宋体" w:cs="宋体"/>
          <w:color w:val="auto"/>
          <w:sz w:val="24"/>
        </w:rPr>
        <w:t>。</w:t>
      </w:r>
    </w:p>
    <w:p>
      <w:pPr>
        <w:numPr>
          <w:ilvl w:val="1"/>
          <w:numId w:val="4"/>
        </w:numPr>
        <w:spacing w:line="460" w:lineRule="exact"/>
        <w:ind w:left="205" w:leftChars="0" w:firstLineChars="0"/>
        <w:rPr>
          <w:rFonts w:ascii="宋体" w:hAnsi="宋体" w:cs="宋体"/>
          <w:bCs/>
          <w:color w:val="auto"/>
          <w:kern w:val="0"/>
          <w:sz w:val="24"/>
          <w:szCs w:val="32"/>
        </w:rPr>
      </w:pPr>
      <w:r>
        <w:rPr>
          <w:rFonts w:hint="eastAsia" w:ascii="宋体" w:hAnsi="宋体" w:cs="宋体"/>
          <w:color w:val="auto"/>
          <w:sz w:val="24"/>
          <w:szCs w:val="21"/>
          <w:lang w:eastAsia="zh-CN"/>
        </w:rPr>
        <w:t>中标人</w:t>
      </w:r>
      <w:r>
        <w:rPr>
          <w:rFonts w:hint="eastAsia" w:ascii="宋体" w:hAnsi="宋体" w:cs="宋体"/>
          <w:color w:val="auto"/>
          <w:sz w:val="24"/>
          <w:szCs w:val="21"/>
        </w:rPr>
        <w:t>提供的服务经采购人验收不合格的，采购人有权立即单方解除合同并不需承担任何违约责任。</w:t>
      </w:r>
    </w:p>
    <w:p>
      <w:pPr>
        <w:numPr>
          <w:ilvl w:val="0"/>
          <w:numId w:val="4"/>
        </w:numPr>
        <w:rPr>
          <w:rStyle w:val="124"/>
          <w:rFonts w:ascii="宋体" w:hAnsi="宋体" w:eastAsia="宋体" w:cs="宋体"/>
          <w:color w:val="auto"/>
        </w:rPr>
      </w:pPr>
      <w:bookmarkStart w:id="179" w:name="_Toc8672"/>
      <w:bookmarkStart w:id="180" w:name="_Toc4703"/>
      <w:r>
        <w:rPr>
          <w:rStyle w:val="124"/>
          <w:rFonts w:hint="eastAsia" w:ascii="宋体" w:hAnsi="宋体" w:eastAsia="宋体" w:cs="宋体"/>
          <w:color w:val="auto"/>
        </w:rPr>
        <w:t>付款方式</w:t>
      </w:r>
    </w:p>
    <w:bookmarkEnd w:id="179"/>
    <w:bookmarkEnd w:id="180"/>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rPr>
        <w:t>服务费用按季度根据维保内容支付维保费用，每季度末按计划完成保养以及日常维修后于次季度15日前根据中标人提供的服务发票支付上个季度维护保养费，付款前中标人须提供票面金额与当次款项金额一致的增值税专用发票给采购人</w:t>
      </w:r>
      <w:r>
        <w:rPr>
          <w:rFonts w:hint="eastAsia" w:ascii="宋体" w:hAnsi="宋体" w:cs="宋体"/>
          <w:color w:val="auto"/>
          <w:sz w:val="24"/>
          <w:szCs w:val="21"/>
        </w:rPr>
        <w:t>。</w:t>
      </w:r>
    </w:p>
    <w:p>
      <w:pPr>
        <w:numPr>
          <w:ilvl w:val="0"/>
          <w:numId w:val="4"/>
        </w:numPr>
        <w:rPr>
          <w:b/>
          <w:color w:val="auto"/>
          <w:sz w:val="32"/>
          <w:szCs w:val="32"/>
        </w:rPr>
      </w:pPr>
      <w:r>
        <w:rPr>
          <w:rFonts w:hint="eastAsia" w:ascii="宋体" w:hAnsi="宋体" w:cs="宋体"/>
          <w:b/>
          <w:bCs/>
          <w:color w:val="auto"/>
          <w:sz w:val="30"/>
          <w:szCs w:val="32"/>
        </w:rPr>
        <w:t>响应要求</w:t>
      </w:r>
    </w:p>
    <w:p>
      <w:pPr>
        <w:spacing w:line="460" w:lineRule="exact"/>
        <w:ind w:firstLine="480" w:firstLineChars="200"/>
        <w:rPr>
          <w:rFonts w:ascii="宋体" w:hAnsi="宋体" w:cs="宋体"/>
          <w:color w:val="auto"/>
          <w:sz w:val="24"/>
        </w:rPr>
      </w:pPr>
      <w:r>
        <w:rPr>
          <w:rFonts w:hint="eastAsia" w:ascii="宋体" w:hAnsi="宋体" w:cs="宋体"/>
          <w:color w:val="auto"/>
          <w:sz w:val="24"/>
          <w:lang w:bidi="ar"/>
        </w:rPr>
        <w:t xml:space="preserve">10.1  </w:t>
      </w:r>
      <w:r>
        <w:rPr>
          <w:rFonts w:hint="eastAsia" w:ascii="宋体" w:hAnsi="宋体" w:cs="宋体"/>
          <w:color w:val="auto"/>
          <w:sz w:val="24"/>
          <w:lang w:eastAsia="zh-CN" w:bidi="ar"/>
        </w:rPr>
        <w:t>投标人</w:t>
      </w:r>
      <w:r>
        <w:rPr>
          <w:rFonts w:hint="eastAsia" w:ascii="宋体" w:hAnsi="宋体" w:cs="宋体"/>
          <w:color w:val="auto"/>
          <w:sz w:val="24"/>
          <w:lang w:bidi="ar"/>
        </w:rPr>
        <w:t>在</w:t>
      </w:r>
      <w:r>
        <w:rPr>
          <w:rFonts w:hint="eastAsia" w:ascii="宋体" w:hAnsi="宋体" w:cs="宋体"/>
          <w:color w:val="auto"/>
          <w:sz w:val="24"/>
          <w:lang w:val="en-US" w:eastAsia="zh-CN" w:bidi="ar"/>
        </w:rPr>
        <w:t>投标</w:t>
      </w:r>
      <w:r>
        <w:rPr>
          <w:rFonts w:hint="eastAsia" w:ascii="宋体" w:hAnsi="宋体" w:cs="宋体"/>
          <w:color w:val="auto"/>
          <w:sz w:val="24"/>
          <w:lang w:bidi="ar"/>
        </w:rPr>
        <w:t>文件中提供企业信誉及资信情况等相关证明材料的有效复印件。</w:t>
      </w:r>
    </w:p>
    <w:p>
      <w:pPr>
        <w:spacing w:line="460" w:lineRule="exact"/>
        <w:ind w:firstLine="480" w:firstLineChars="200"/>
        <w:rPr>
          <w:rFonts w:ascii="宋体" w:hAnsi="宋体" w:cs="宋体"/>
          <w:color w:val="auto"/>
          <w:sz w:val="24"/>
        </w:rPr>
      </w:pPr>
      <w:r>
        <w:rPr>
          <w:rFonts w:hint="eastAsia" w:ascii="宋体" w:hAnsi="宋体" w:cs="宋体"/>
          <w:color w:val="auto"/>
          <w:sz w:val="24"/>
          <w:lang w:bidi="ar"/>
        </w:rPr>
        <w:t xml:space="preserve">10.2  </w:t>
      </w:r>
      <w:r>
        <w:rPr>
          <w:rFonts w:hint="eastAsia" w:ascii="宋体" w:hAnsi="宋体" w:cs="宋体"/>
          <w:color w:val="auto"/>
          <w:sz w:val="24"/>
          <w:lang w:eastAsia="zh-CN" w:bidi="ar"/>
        </w:rPr>
        <w:t>投标人</w:t>
      </w:r>
      <w:r>
        <w:rPr>
          <w:rFonts w:hint="eastAsia" w:ascii="宋体" w:hAnsi="宋体" w:cs="宋体"/>
          <w:color w:val="auto"/>
          <w:sz w:val="24"/>
          <w:lang w:bidi="ar"/>
        </w:rPr>
        <w:t>在</w:t>
      </w:r>
      <w:r>
        <w:rPr>
          <w:rFonts w:hint="eastAsia" w:ascii="宋体" w:hAnsi="宋体" w:cs="宋体"/>
          <w:color w:val="auto"/>
          <w:sz w:val="24"/>
          <w:lang w:val="en-US" w:eastAsia="zh-CN" w:bidi="ar"/>
        </w:rPr>
        <w:t>投标</w:t>
      </w:r>
      <w:r>
        <w:rPr>
          <w:rFonts w:hint="eastAsia" w:ascii="宋体" w:hAnsi="宋体" w:cs="宋体"/>
          <w:color w:val="auto"/>
          <w:sz w:val="24"/>
          <w:lang w:bidi="ar"/>
        </w:rPr>
        <w:t>文件中提供服务、履约能力基本情况的说明并提供维护保养方案。</w:t>
      </w:r>
    </w:p>
    <w:p>
      <w:pPr>
        <w:spacing w:line="460" w:lineRule="exact"/>
        <w:ind w:firstLine="480" w:firstLineChars="200"/>
        <w:rPr>
          <w:rFonts w:ascii="宋体" w:hAnsi="宋体" w:cs="宋体"/>
          <w:color w:val="auto"/>
          <w:sz w:val="24"/>
        </w:rPr>
      </w:pPr>
      <w:r>
        <w:rPr>
          <w:rFonts w:hint="eastAsia" w:ascii="宋体" w:hAnsi="宋体" w:cs="宋体"/>
          <w:color w:val="auto"/>
          <w:sz w:val="24"/>
          <w:lang w:bidi="ar"/>
        </w:rPr>
        <w:t xml:space="preserve">10.3  </w:t>
      </w:r>
      <w:r>
        <w:rPr>
          <w:rFonts w:hint="eastAsia" w:ascii="宋体" w:hAnsi="宋体" w:cs="宋体"/>
          <w:color w:val="auto"/>
          <w:sz w:val="24"/>
          <w:lang w:eastAsia="zh-CN" w:bidi="ar"/>
        </w:rPr>
        <w:t>投标人</w:t>
      </w:r>
      <w:r>
        <w:rPr>
          <w:rFonts w:hint="eastAsia" w:ascii="宋体" w:hAnsi="宋体" w:cs="宋体"/>
          <w:color w:val="auto"/>
          <w:sz w:val="24"/>
          <w:lang w:bidi="ar"/>
        </w:rPr>
        <w:t>在</w:t>
      </w:r>
      <w:r>
        <w:rPr>
          <w:rFonts w:hint="eastAsia" w:ascii="宋体" w:hAnsi="宋体" w:cs="宋体"/>
          <w:color w:val="auto"/>
          <w:sz w:val="24"/>
          <w:lang w:val="en-US" w:eastAsia="zh-CN" w:bidi="ar"/>
        </w:rPr>
        <w:t>投标</w:t>
      </w:r>
      <w:r>
        <w:rPr>
          <w:rFonts w:hint="eastAsia" w:ascii="宋体" w:hAnsi="宋体" w:cs="宋体"/>
          <w:color w:val="auto"/>
          <w:sz w:val="24"/>
          <w:lang w:bidi="ar"/>
        </w:rPr>
        <w:t>文件中的提供类似项目案例的有效证明文件。</w:t>
      </w:r>
    </w:p>
    <w:p>
      <w:pPr>
        <w:spacing w:line="460" w:lineRule="exact"/>
        <w:ind w:firstLine="480" w:firstLineChars="200"/>
        <w:rPr>
          <w:rFonts w:ascii="宋体" w:hAnsi="宋体" w:cs="宋体"/>
          <w:color w:val="auto"/>
          <w:sz w:val="24"/>
        </w:rPr>
      </w:pPr>
      <w:r>
        <w:rPr>
          <w:rFonts w:hint="eastAsia" w:ascii="宋体" w:hAnsi="宋体" w:cs="宋体"/>
          <w:color w:val="auto"/>
          <w:sz w:val="24"/>
          <w:lang w:bidi="ar"/>
        </w:rPr>
        <w:t xml:space="preserve">10.4  </w:t>
      </w:r>
      <w:r>
        <w:rPr>
          <w:rFonts w:hint="eastAsia" w:ascii="宋体" w:hAnsi="宋体" w:cs="宋体"/>
          <w:color w:val="auto"/>
          <w:sz w:val="24"/>
          <w:lang w:eastAsia="zh-CN"/>
        </w:rPr>
        <w:t>投标人</w:t>
      </w:r>
      <w:r>
        <w:rPr>
          <w:rFonts w:hint="eastAsia" w:ascii="宋体" w:hAnsi="宋体" w:cs="宋体"/>
          <w:color w:val="auto"/>
          <w:sz w:val="24"/>
          <w:lang w:val="en-US" w:eastAsia="zh-CN"/>
        </w:rPr>
        <w:t>投标</w:t>
      </w:r>
      <w:r>
        <w:rPr>
          <w:rFonts w:hint="eastAsia" w:ascii="宋体" w:hAnsi="宋体" w:cs="宋体"/>
          <w:color w:val="auto"/>
          <w:sz w:val="24"/>
        </w:rPr>
        <w:t>文件技术部分应包括但不局限：①满足采购要求的维护保养方案;②项目服务人员配备情况表,含有关证明资料;③人员投入计划安排；④确保项目质量的技术组织措施、风险控制的技术组织措施，紧急情况应急措施等。</w:t>
      </w:r>
    </w:p>
    <w:p>
      <w:pPr>
        <w:pStyle w:val="18"/>
        <w:widowControl/>
        <w:spacing w:after="0" w:line="460" w:lineRule="exact"/>
        <w:ind w:firstLine="480" w:firstLineChars="200"/>
        <w:rPr>
          <w:rFonts w:ascii="宋体" w:hAnsi="宋体" w:cs="宋体"/>
          <w:color w:val="auto"/>
          <w:sz w:val="24"/>
          <w:szCs w:val="22"/>
        </w:rPr>
      </w:pPr>
      <w:r>
        <w:rPr>
          <w:rFonts w:hint="eastAsia" w:ascii="宋体" w:hAnsi="宋体" w:cs="宋体"/>
          <w:color w:val="auto"/>
          <w:sz w:val="24"/>
        </w:rPr>
        <w:t xml:space="preserve">10.5  </w:t>
      </w:r>
      <w:r>
        <w:rPr>
          <w:rFonts w:hint="eastAsia" w:ascii="宋体" w:hAnsi="宋体" w:cs="宋体"/>
          <w:color w:val="auto"/>
          <w:sz w:val="24"/>
          <w:szCs w:val="22"/>
        </w:rPr>
        <w:t>除采购文件另有要求外，采购文件中要求提供的承诺函、证明、证书复印件等证明材料须加盖</w:t>
      </w:r>
      <w:r>
        <w:rPr>
          <w:rFonts w:hint="eastAsia" w:ascii="宋体" w:hAnsi="宋体" w:cs="宋体"/>
          <w:color w:val="auto"/>
          <w:sz w:val="24"/>
          <w:szCs w:val="22"/>
          <w:lang w:eastAsia="zh-CN"/>
        </w:rPr>
        <w:t>投标人</w:t>
      </w:r>
      <w:r>
        <w:rPr>
          <w:rFonts w:hint="eastAsia" w:ascii="宋体" w:hAnsi="宋体" w:cs="宋体"/>
          <w:color w:val="auto"/>
          <w:sz w:val="24"/>
          <w:szCs w:val="22"/>
        </w:rPr>
        <w:t>公章。</w:t>
      </w:r>
    </w:p>
    <w:p>
      <w:pPr>
        <w:widowControl/>
        <w:spacing w:line="460" w:lineRule="exact"/>
        <w:ind w:firstLine="480" w:firstLineChars="200"/>
        <w:jc w:val="left"/>
        <w:rPr>
          <w:rFonts w:ascii="宋体" w:hAnsi="宋体" w:cs="宋体"/>
          <w:b/>
          <w:bCs/>
          <w:color w:val="auto"/>
          <w:sz w:val="30"/>
          <w:szCs w:val="32"/>
        </w:rPr>
      </w:pPr>
      <w:r>
        <w:rPr>
          <w:rFonts w:hint="eastAsia" w:ascii="宋体" w:hAnsi="宋体"/>
          <w:color w:val="auto"/>
          <w:sz w:val="24"/>
          <w:lang w:bidi="ar"/>
        </w:rPr>
        <w:t>10.6  针对采购文件中的“</w:t>
      </w:r>
      <w:r>
        <w:rPr>
          <w:rFonts w:hint="eastAsia" w:ascii="宋体" w:hAnsi="宋体" w:cs="宋体"/>
          <w:b/>
          <w:color w:val="auto"/>
          <w:sz w:val="24"/>
        </w:rPr>
        <w:t>*</w:t>
      </w:r>
      <w:r>
        <w:rPr>
          <w:rFonts w:hint="eastAsia" w:ascii="宋体" w:hAnsi="宋体"/>
          <w:color w:val="auto"/>
          <w:sz w:val="24"/>
          <w:lang w:bidi="ar"/>
        </w:rPr>
        <w:t>”号条款及要求应在响应文件中逐条响应并按要求提供承诺书或提供相关证明材料或说明；针对采购文件中的非“</w:t>
      </w:r>
      <w:r>
        <w:rPr>
          <w:rFonts w:hint="eastAsia" w:ascii="宋体" w:hAnsi="宋体" w:cs="宋体"/>
          <w:b/>
          <w:color w:val="auto"/>
          <w:sz w:val="24"/>
        </w:rPr>
        <w:t>*</w:t>
      </w:r>
      <w:r>
        <w:rPr>
          <w:rFonts w:hint="eastAsia" w:ascii="宋体" w:hAnsi="宋体"/>
          <w:color w:val="auto"/>
          <w:sz w:val="24"/>
          <w:lang w:bidi="ar"/>
        </w:rPr>
        <w:t>”号条款及项目需求有任何不满足或负偏离应在响应文件中集中列出并逐条对偏离情况进行说明，如未作说明则视为</w:t>
      </w:r>
      <w:r>
        <w:rPr>
          <w:rFonts w:hint="eastAsia" w:ascii="宋体" w:hAnsi="宋体"/>
          <w:color w:val="auto"/>
          <w:sz w:val="24"/>
          <w:lang w:eastAsia="zh-CN" w:bidi="ar"/>
        </w:rPr>
        <w:t>投标人</w:t>
      </w:r>
      <w:r>
        <w:rPr>
          <w:rFonts w:hint="eastAsia" w:ascii="宋体" w:hAnsi="宋体"/>
          <w:color w:val="auto"/>
          <w:sz w:val="24"/>
          <w:lang w:bidi="ar"/>
        </w:rPr>
        <w:t>完全响应采购文件要求。</w:t>
      </w:r>
    </w:p>
    <w:p>
      <w:pPr>
        <w:numPr>
          <w:ilvl w:val="0"/>
          <w:numId w:val="4"/>
        </w:numPr>
        <w:rPr>
          <w:rFonts w:ascii="宋体" w:hAnsi="宋体" w:cs="宋体"/>
          <w:b/>
          <w:bCs/>
          <w:color w:val="auto"/>
          <w:sz w:val="30"/>
          <w:szCs w:val="32"/>
        </w:rPr>
      </w:pPr>
      <w:bookmarkStart w:id="181" w:name="_Toc10927"/>
      <w:bookmarkStart w:id="182" w:name="_Toc750"/>
      <w:r>
        <w:rPr>
          <w:rStyle w:val="124"/>
          <w:rFonts w:hint="eastAsia" w:ascii="宋体" w:hAnsi="宋体" w:eastAsia="宋体" w:cs="宋体"/>
          <w:color w:val="auto"/>
        </w:rPr>
        <w:t>其他要求</w:t>
      </w:r>
      <w:bookmarkEnd w:id="181"/>
      <w:bookmarkEnd w:id="182"/>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lang w:eastAsia="zh-CN"/>
        </w:rPr>
        <w:t>中标人</w:t>
      </w:r>
      <w:r>
        <w:rPr>
          <w:rFonts w:hint="eastAsia" w:ascii="宋体" w:hAnsi="宋体" w:cs="宋体"/>
          <w:color w:val="auto"/>
          <w:sz w:val="24"/>
          <w:szCs w:val="21"/>
        </w:rPr>
        <w:t>应严格依据</w:t>
      </w:r>
      <w:r>
        <w:rPr>
          <w:rFonts w:hint="eastAsia" w:ascii="宋体" w:hAnsi="宋体" w:cs="宋体"/>
          <w:color w:val="auto"/>
          <w:sz w:val="24"/>
          <w:szCs w:val="21"/>
          <w:lang w:val="en-US" w:eastAsia="zh-CN"/>
        </w:rPr>
        <w:t>投标</w:t>
      </w:r>
      <w:r>
        <w:rPr>
          <w:rFonts w:hint="eastAsia" w:ascii="宋体" w:hAnsi="宋体" w:cs="宋体"/>
          <w:color w:val="auto"/>
          <w:sz w:val="24"/>
          <w:szCs w:val="21"/>
        </w:rPr>
        <w:t>文件所做承诺履行职责，如有违约，采购人有权根据协议、合同采取措施保证本次服务采购的顺利进行，并相应追究违约方违约责任。</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rPr>
        <w:t>涉及与有关行业部门的事宜均由</w:t>
      </w:r>
      <w:r>
        <w:rPr>
          <w:rFonts w:hint="eastAsia" w:ascii="宋体" w:hAnsi="宋体" w:cs="宋体"/>
          <w:color w:val="auto"/>
          <w:sz w:val="24"/>
          <w:szCs w:val="21"/>
          <w:lang w:eastAsia="zh-CN"/>
        </w:rPr>
        <w:t>投标人</w:t>
      </w:r>
      <w:r>
        <w:rPr>
          <w:rFonts w:hint="eastAsia" w:ascii="宋体" w:hAnsi="宋体" w:cs="宋体"/>
          <w:color w:val="auto"/>
          <w:sz w:val="24"/>
          <w:szCs w:val="21"/>
        </w:rPr>
        <w:t>自行处理。</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lang w:eastAsia="zh-CN"/>
        </w:rPr>
        <w:t>投标人</w:t>
      </w:r>
      <w:r>
        <w:rPr>
          <w:rFonts w:hint="eastAsia" w:ascii="宋体" w:hAnsi="宋体" w:cs="宋体"/>
          <w:color w:val="auto"/>
          <w:sz w:val="24"/>
          <w:szCs w:val="21"/>
        </w:rPr>
        <w:t>的资格条件必须满足国家有关部门的规定要求和行业有关规定要求并提供相关证明材料。</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rPr>
        <w:t>本项目服务的移交、验收、接管均按国家现行有关规定实施。</w:t>
      </w:r>
    </w:p>
    <w:p>
      <w:pPr>
        <w:numPr>
          <w:ilvl w:val="1"/>
          <w:numId w:val="4"/>
        </w:numPr>
        <w:spacing w:line="460" w:lineRule="exact"/>
        <w:ind w:left="205" w:leftChars="0" w:firstLineChars="0"/>
        <w:rPr>
          <w:rFonts w:ascii="宋体" w:hAnsi="宋体" w:cs="宋体"/>
          <w:color w:val="auto"/>
          <w:sz w:val="24"/>
        </w:rPr>
      </w:pPr>
      <w:r>
        <w:rPr>
          <w:rFonts w:hint="eastAsia" w:ascii="宋体" w:hAnsi="宋体" w:cs="宋体"/>
          <w:color w:val="auto"/>
          <w:sz w:val="24"/>
          <w:szCs w:val="21"/>
          <w:lang w:eastAsia="zh-CN"/>
        </w:rPr>
        <w:t>投标人</w:t>
      </w:r>
      <w:r>
        <w:rPr>
          <w:rFonts w:hint="eastAsia" w:ascii="宋体" w:hAnsi="宋体" w:cs="宋体"/>
          <w:color w:val="auto"/>
          <w:sz w:val="24"/>
          <w:szCs w:val="21"/>
        </w:rPr>
        <w:t>应明确其提供的服务与和</w:t>
      </w:r>
      <w:r>
        <w:rPr>
          <w:rFonts w:hint="eastAsia" w:ascii="宋体" w:hAnsi="宋体" w:cs="宋体"/>
          <w:color w:val="auto"/>
          <w:sz w:val="24"/>
          <w:szCs w:val="21"/>
          <w:lang w:eastAsia="zh-CN"/>
        </w:rPr>
        <w:t>招标</w:t>
      </w:r>
      <w:r>
        <w:rPr>
          <w:rFonts w:hint="eastAsia" w:ascii="宋体" w:hAnsi="宋体" w:cs="宋体"/>
          <w:color w:val="auto"/>
          <w:sz w:val="24"/>
          <w:szCs w:val="21"/>
        </w:rPr>
        <w:t>文件的要求是否存在偏离的情况，并将该情况列在</w:t>
      </w:r>
      <w:r>
        <w:rPr>
          <w:rFonts w:hint="eastAsia" w:ascii="宋体" w:hAnsi="宋体" w:cs="宋体"/>
          <w:color w:val="auto"/>
          <w:sz w:val="24"/>
          <w:szCs w:val="21"/>
          <w:lang w:eastAsia="zh-CN"/>
        </w:rPr>
        <w:t>投标</w:t>
      </w:r>
      <w:r>
        <w:rPr>
          <w:rFonts w:hint="eastAsia" w:ascii="宋体" w:hAnsi="宋体" w:cs="宋体"/>
          <w:color w:val="auto"/>
          <w:sz w:val="24"/>
          <w:szCs w:val="21"/>
        </w:rPr>
        <w:t>文件的《技术商务偏离表》中。</w:t>
      </w:r>
    </w:p>
    <w:p>
      <w:pPr>
        <w:spacing w:line="460" w:lineRule="exact"/>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eastAsia="zh-CN"/>
        </w:rPr>
        <w:t>投标人</w:t>
      </w:r>
      <w:r>
        <w:rPr>
          <w:rFonts w:hint="eastAsia" w:ascii="宋体" w:hAnsi="宋体" w:cs="宋体"/>
          <w:color w:val="auto"/>
          <w:sz w:val="24"/>
        </w:rPr>
        <w:t>除应在</w:t>
      </w:r>
      <w:r>
        <w:rPr>
          <w:rFonts w:hint="eastAsia" w:ascii="宋体" w:hAnsi="宋体" w:cs="宋体"/>
          <w:color w:val="auto"/>
          <w:sz w:val="24"/>
          <w:lang w:eastAsia="zh-CN"/>
        </w:rPr>
        <w:t>投标</w:t>
      </w:r>
      <w:r>
        <w:rPr>
          <w:rFonts w:hint="eastAsia" w:ascii="宋体" w:hAnsi="宋体" w:cs="宋体"/>
          <w:color w:val="auto"/>
          <w:sz w:val="24"/>
        </w:rPr>
        <w:t>文件中对</w:t>
      </w:r>
      <w:r>
        <w:rPr>
          <w:rFonts w:hint="eastAsia" w:ascii="宋体" w:hAnsi="宋体" w:cs="宋体"/>
          <w:color w:val="auto"/>
          <w:sz w:val="24"/>
          <w:lang w:eastAsia="zh-CN"/>
        </w:rPr>
        <w:t>招标</w:t>
      </w:r>
      <w:r>
        <w:rPr>
          <w:rFonts w:hint="eastAsia" w:ascii="宋体" w:hAnsi="宋体" w:cs="宋体"/>
          <w:color w:val="auto"/>
          <w:sz w:val="24"/>
        </w:rPr>
        <w:t>文件中的“*”号条款进行详细地响应外，还应在《技术商务偏离表》中将其对</w:t>
      </w:r>
      <w:r>
        <w:rPr>
          <w:rFonts w:hint="eastAsia" w:ascii="宋体" w:hAnsi="宋体" w:cs="宋体"/>
          <w:color w:val="auto"/>
          <w:sz w:val="24"/>
          <w:lang w:eastAsia="zh-CN"/>
        </w:rPr>
        <w:t>招标</w:t>
      </w:r>
      <w:r>
        <w:rPr>
          <w:rFonts w:hint="eastAsia" w:ascii="宋体" w:hAnsi="宋体" w:cs="宋体"/>
          <w:color w:val="auto"/>
          <w:sz w:val="24"/>
        </w:rPr>
        <w:t>文件中的“*”号条款的响应情况进行汇总。</w:t>
      </w:r>
    </w:p>
    <w:p>
      <w:pPr>
        <w:spacing w:line="460" w:lineRule="exact"/>
        <w:ind w:firstLine="480" w:firstLineChars="200"/>
        <w:rPr>
          <w:rFonts w:ascii="宋体" w:hAnsi="宋体" w:cs="宋体"/>
          <w:color w:val="auto"/>
          <w:sz w:val="24"/>
        </w:rPr>
      </w:pPr>
      <w:r>
        <w:rPr>
          <w:rFonts w:hint="eastAsia" w:ascii="宋体" w:hAnsi="宋体" w:cs="宋体"/>
          <w:color w:val="auto"/>
          <w:sz w:val="24"/>
        </w:rPr>
        <w:t>（2）若</w:t>
      </w:r>
      <w:r>
        <w:rPr>
          <w:rFonts w:hint="eastAsia" w:ascii="宋体" w:hAnsi="宋体" w:cs="宋体"/>
          <w:color w:val="auto"/>
          <w:sz w:val="24"/>
          <w:lang w:eastAsia="zh-CN"/>
        </w:rPr>
        <w:t>投标人</w:t>
      </w:r>
      <w:r>
        <w:rPr>
          <w:rFonts w:hint="eastAsia" w:ascii="宋体" w:hAnsi="宋体" w:cs="宋体"/>
          <w:color w:val="auto"/>
          <w:sz w:val="24"/>
        </w:rPr>
        <w:t>提供的服务与</w:t>
      </w:r>
      <w:r>
        <w:rPr>
          <w:rFonts w:hint="eastAsia" w:ascii="宋体" w:hAnsi="宋体" w:cs="宋体"/>
          <w:color w:val="auto"/>
          <w:sz w:val="24"/>
          <w:lang w:eastAsia="zh-CN"/>
        </w:rPr>
        <w:t>招标</w:t>
      </w:r>
      <w:r>
        <w:rPr>
          <w:rFonts w:hint="eastAsia" w:ascii="宋体" w:hAnsi="宋体" w:cs="宋体"/>
          <w:color w:val="auto"/>
          <w:sz w:val="24"/>
        </w:rPr>
        <w:t>文件的要求存在偏离的，无论该种偏离是正偏离或负偏离，</w:t>
      </w:r>
      <w:r>
        <w:rPr>
          <w:rFonts w:hint="eastAsia" w:ascii="宋体" w:hAnsi="宋体" w:cs="宋体"/>
          <w:color w:val="auto"/>
          <w:sz w:val="24"/>
          <w:lang w:eastAsia="zh-CN"/>
        </w:rPr>
        <w:t>投标人</w:t>
      </w:r>
      <w:r>
        <w:rPr>
          <w:rFonts w:hint="eastAsia" w:ascii="宋体" w:hAnsi="宋体" w:cs="宋体"/>
          <w:color w:val="auto"/>
          <w:sz w:val="24"/>
        </w:rPr>
        <w:t>都应将其汇总在《技术商务偏离表》。未在该表中体现的偏离，除非</w:t>
      </w:r>
      <w:r>
        <w:rPr>
          <w:rFonts w:hint="eastAsia" w:ascii="宋体" w:hAnsi="宋体" w:cs="宋体"/>
          <w:color w:val="auto"/>
          <w:sz w:val="24"/>
          <w:lang w:eastAsia="zh-CN"/>
        </w:rPr>
        <w:t>投标人</w:t>
      </w:r>
      <w:r>
        <w:rPr>
          <w:rFonts w:hint="eastAsia" w:ascii="宋体" w:hAnsi="宋体" w:cs="宋体"/>
          <w:color w:val="auto"/>
          <w:sz w:val="24"/>
        </w:rPr>
        <w:t>书面向采购人进行说明，并被采购人接受，否则无论在</w:t>
      </w:r>
      <w:r>
        <w:rPr>
          <w:rFonts w:hint="eastAsia" w:ascii="宋体" w:hAnsi="宋体" w:cs="宋体"/>
          <w:color w:val="auto"/>
          <w:sz w:val="24"/>
          <w:lang w:eastAsia="zh-CN"/>
        </w:rPr>
        <w:t>投标</w:t>
      </w:r>
      <w:r>
        <w:rPr>
          <w:rFonts w:hint="eastAsia" w:ascii="宋体" w:hAnsi="宋体" w:cs="宋体"/>
          <w:color w:val="auto"/>
          <w:sz w:val="24"/>
        </w:rPr>
        <w:t>文件的其他部分是否有表示，采购人均视为不存在偏离。</w:t>
      </w:r>
    </w:p>
    <w:p>
      <w:pPr>
        <w:spacing w:line="460" w:lineRule="exact"/>
        <w:ind w:firstLine="480" w:firstLineChars="200"/>
        <w:rPr>
          <w:rFonts w:ascii="宋体" w:hAnsi="宋体" w:cs="宋体"/>
          <w:color w:val="auto"/>
          <w:sz w:val="24"/>
        </w:rPr>
        <w:sectPr>
          <w:pgSz w:w="11906" w:h="16838"/>
          <w:pgMar w:top="1418" w:right="1418" w:bottom="1418" w:left="1418" w:header="851" w:footer="850" w:gutter="0"/>
          <w:pgNumType w:fmt="decimal"/>
          <w:cols w:space="720" w:num="1"/>
          <w:titlePg/>
          <w:docGrid w:type="lines" w:linePitch="303" w:charSpace="0"/>
        </w:sectPr>
      </w:pPr>
    </w:p>
    <w:p>
      <w:pPr>
        <w:pStyle w:val="3"/>
        <w:pageBreakBefore/>
        <w:spacing w:before="151" w:beforeLines="50" w:after="151" w:afterLines="50" w:line="460" w:lineRule="exact"/>
        <w:jc w:val="center"/>
        <w:rPr>
          <w:rFonts w:ascii="宋体" w:hAnsi="宋体" w:cs="宋体"/>
          <w:color w:val="auto"/>
        </w:rPr>
      </w:pPr>
      <w:bookmarkStart w:id="183" w:name="_Toc2730"/>
      <w:bookmarkStart w:id="184" w:name="_Toc23065"/>
      <w:r>
        <w:rPr>
          <w:rFonts w:hint="eastAsia" w:ascii="宋体" w:hAnsi="宋体" w:cs="宋体"/>
          <w:color w:val="auto"/>
        </w:rPr>
        <w:t>第四章  采购合同</w:t>
      </w:r>
      <w:bookmarkEnd w:id="183"/>
      <w:bookmarkEnd w:id="184"/>
    </w:p>
    <w:tbl>
      <w:tblPr>
        <w:tblStyle w:val="41"/>
        <w:tblW w:w="8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878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auto"/>
                <w:sz w:val="24"/>
              </w:rPr>
            </w:pPr>
            <w:r>
              <w:rPr>
                <w:rFonts w:hint="eastAsia" w:ascii="宋体" w:hAnsi="宋体" w:cs="宋体"/>
                <w:color w:val="auto"/>
                <w:sz w:val="24"/>
              </w:rPr>
              <w:t xml:space="preserve">注释： </w:t>
            </w:r>
          </w:p>
          <w:p>
            <w:pPr>
              <w:spacing w:line="360" w:lineRule="auto"/>
              <w:ind w:firstLine="480" w:firstLineChars="200"/>
              <w:rPr>
                <w:rFonts w:ascii="宋体" w:hAnsi="宋体" w:cs="宋体"/>
                <w:color w:val="auto"/>
                <w:sz w:val="24"/>
              </w:rPr>
            </w:pPr>
            <w:r>
              <w:rPr>
                <w:rFonts w:hint="eastAsia" w:ascii="宋体" w:hAnsi="宋体" w:cs="宋体"/>
                <w:color w:val="auto"/>
                <w:sz w:val="24"/>
              </w:rPr>
              <w:t>本格式条款仅作为双方签订合同的参考，为阐明各方的权利和义务，经协商可增加新的条款、修改相关条款， 但不得与采购文件、</w:t>
            </w:r>
            <w:r>
              <w:rPr>
                <w:rFonts w:hint="eastAsia" w:ascii="宋体" w:hAnsi="宋体" w:cs="宋体"/>
                <w:color w:val="auto"/>
                <w:sz w:val="24"/>
                <w:lang w:eastAsia="zh-CN"/>
              </w:rPr>
              <w:t>投标</w:t>
            </w:r>
            <w:r>
              <w:rPr>
                <w:rFonts w:hint="eastAsia" w:ascii="宋体" w:hAnsi="宋体" w:cs="宋体"/>
                <w:color w:val="auto"/>
                <w:sz w:val="24"/>
              </w:rPr>
              <w:t>文件的实质性内容相背离。</w:t>
            </w:r>
          </w:p>
        </w:tc>
      </w:tr>
    </w:tbl>
    <w:p>
      <w:pPr>
        <w:spacing w:line="360" w:lineRule="auto"/>
        <w:jc w:val="center"/>
        <w:rPr>
          <w:rFonts w:asciiTheme="minorEastAsia" w:hAnsiTheme="minorEastAsia" w:eastAsiaTheme="minorEastAsia"/>
          <w:b/>
          <w:bCs/>
          <w:color w:val="auto"/>
          <w:sz w:val="32"/>
          <w:szCs w:val="32"/>
        </w:rPr>
      </w:pPr>
      <w:r>
        <w:rPr>
          <w:rFonts w:hint="eastAsia" w:ascii="宋体" w:hAnsi="宋体" w:cs="宋体"/>
          <w:color w:val="auto"/>
          <w:sz w:val="24"/>
        </w:rPr>
        <w:t xml:space="preserve"> </w:t>
      </w:r>
      <w:bookmarkStart w:id="185" w:name="_Toc286231000"/>
      <w:r>
        <w:rPr>
          <w:rFonts w:hint="eastAsia" w:asciiTheme="minorEastAsia" w:hAnsiTheme="minorEastAsia" w:eastAsiaTheme="minorEastAsia"/>
          <w:b/>
          <w:bCs/>
          <w:color w:val="auto"/>
          <w:sz w:val="32"/>
          <w:szCs w:val="32"/>
        </w:rPr>
        <w:t>码头智能化设施维养外包项目合同</w:t>
      </w:r>
    </w:p>
    <w:p>
      <w:pPr>
        <w:wordWrap w:val="0"/>
        <w:spacing w:line="360" w:lineRule="auto"/>
        <w:ind w:right="844"/>
        <w:jc w:val="right"/>
        <w:rPr>
          <w:rFonts w:asciiTheme="minorEastAsia" w:hAnsiTheme="minorEastAsia" w:eastAsiaTheme="minorEastAsia"/>
          <w:b/>
          <w:bCs/>
          <w:color w:val="auto"/>
          <w:sz w:val="24"/>
          <w:szCs w:val="24"/>
          <w:u w:val="single"/>
        </w:rPr>
      </w:pPr>
      <w:r>
        <w:rPr>
          <w:rFonts w:hint="eastAsia" w:asciiTheme="minorEastAsia" w:hAnsiTheme="minorEastAsia" w:eastAsiaTheme="minorEastAsia"/>
          <w:b/>
          <w:bCs/>
          <w:color w:val="auto"/>
          <w:kern w:val="0"/>
          <w:sz w:val="24"/>
          <w:szCs w:val="24"/>
        </w:rPr>
        <w:t>合同号：</w:t>
      </w:r>
      <w:r>
        <w:rPr>
          <w:rFonts w:asciiTheme="minorEastAsia" w:hAnsiTheme="minorEastAsia" w:eastAsiaTheme="minorEastAsia"/>
          <w:b/>
          <w:bCs/>
          <w:color w:val="auto"/>
          <w:kern w:val="0"/>
          <w:sz w:val="24"/>
          <w:szCs w:val="24"/>
          <w:u w:val="single"/>
        </w:rPr>
        <w:t xml:space="preserve">              </w:t>
      </w:r>
    </w:p>
    <w:bookmarkEnd w:id="185"/>
    <w:p>
      <w:pPr>
        <w:spacing w:line="360" w:lineRule="auto"/>
        <w:ind w:firstLine="482"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rPr>
        <w:t>甲方：</w:t>
      </w:r>
      <w:r>
        <w:rPr>
          <w:rFonts w:hint="eastAsia" w:asciiTheme="minorEastAsia" w:hAnsiTheme="minorEastAsia" w:eastAsiaTheme="minorEastAsia"/>
          <w:color w:val="auto"/>
          <w:sz w:val="24"/>
          <w:szCs w:val="24"/>
        </w:rPr>
        <w:t xml:space="preserve">厦门五缘游艇文化发展有限公司 </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乙方：</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按照《中华人民共和国民法典》等相关法律法规的规定，根据《码头智能化设施维养外包项目》采购文件的规定和成交结果，经甲乙双方共同协商达成如下合同条款。</w:t>
      </w:r>
    </w:p>
    <w:p>
      <w:pPr>
        <w:spacing w:line="360" w:lineRule="auto"/>
        <w:ind w:firstLine="482" w:firstLineChars="200"/>
        <w:rPr>
          <w:rFonts w:asciiTheme="minorEastAsia" w:hAnsiTheme="minorEastAsia" w:eastAsiaTheme="minorEastAsia"/>
          <w:color w:val="auto"/>
          <w:sz w:val="24"/>
          <w:szCs w:val="24"/>
          <w:u w:val="single"/>
        </w:rPr>
      </w:pPr>
      <w:r>
        <w:rPr>
          <w:rFonts w:hint="eastAsia" w:asciiTheme="minorEastAsia" w:hAnsiTheme="minorEastAsia" w:eastAsiaTheme="minorEastAsia"/>
          <w:b/>
          <w:bCs/>
          <w:color w:val="auto"/>
          <w:sz w:val="24"/>
          <w:szCs w:val="24"/>
        </w:rPr>
        <w:t>一、项目名称：</w:t>
      </w:r>
      <w:r>
        <w:rPr>
          <w:rFonts w:hint="eastAsia" w:asciiTheme="minorEastAsia" w:hAnsiTheme="minorEastAsia" w:eastAsiaTheme="minorEastAsia"/>
          <w:color w:val="auto"/>
          <w:sz w:val="24"/>
          <w:szCs w:val="24"/>
          <w:u w:val="none"/>
        </w:rPr>
        <w:t xml:space="preserve">码头智能化设施维养外包项目 </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二、合同组成</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一）</w:t>
      </w:r>
      <w:r>
        <w:rPr>
          <w:rFonts w:hint="eastAsia" w:asciiTheme="minorEastAsia" w:hAnsiTheme="minorEastAsia" w:eastAsiaTheme="minorEastAsia"/>
          <w:color w:val="auto"/>
          <w:sz w:val="24"/>
          <w:szCs w:val="24"/>
        </w:rPr>
        <w:t>采购文件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二）</w:t>
      </w:r>
      <w:r>
        <w:rPr>
          <w:rFonts w:hint="eastAsia" w:asciiTheme="minorEastAsia" w:hAnsiTheme="minorEastAsia" w:eastAsiaTheme="minorEastAsia"/>
          <w:color w:val="auto"/>
          <w:sz w:val="24"/>
          <w:szCs w:val="24"/>
          <w:lang w:eastAsia="zh-CN"/>
        </w:rPr>
        <w:t>投标</w:t>
      </w:r>
      <w:r>
        <w:rPr>
          <w:rFonts w:hint="eastAsia" w:asciiTheme="minorEastAsia" w:hAnsiTheme="minorEastAsia" w:eastAsiaTheme="minorEastAsia"/>
          <w:color w:val="auto"/>
          <w:sz w:val="24"/>
          <w:szCs w:val="24"/>
        </w:rPr>
        <w:t>文件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三)</w:t>
      </w:r>
      <w:r>
        <w:rPr>
          <w:rFonts w:hint="eastAsia" w:asciiTheme="minorEastAsia" w:hAnsiTheme="minorEastAsia" w:eastAsiaTheme="minorEastAsia"/>
          <w:color w:val="auto"/>
          <w:sz w:val="24"/>
          <w:szCs w:val="24"/>
        </w:rPr>
        <w:t>成交通知书</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四）</w:t>
      </w:r>
      <w:r>
        <w:rPr>
          <w:rFonts w:hint="eastAsia" w:asciiTheme="minorEastAsia" w:hAnsiTheme="minorEastAsia" w:eastAsiaTheme="minorEastAsia"/>
          <w:color w:val="auto"/>
          <w:sz w:val="24"/>
          <w:szCs w:val="24"/>
        </w:rPr>
        <w:t>本合同</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三、项目维护保养内容及设备清单（详见附件）</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四、工程质量</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（一）需经甲方确认后方可进行下一个工作流程。乙方应随时接受甲方的检查检验，为检查检验提供便利条件。</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（二）双方对工程质量有争议，由双方同意的工程质量检测机构鉴定，所需费用及因此造成的损失，由责任方承担。双方均有责任，由双方根据其责任分别承担。</w:t>
      </w:r>
    </w:p>
    <w:p>
      <w:pPr>
        <w:spacing w:line="360" w:lineRule="auto"/>
        <w:ind w:firstLine="482"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rPr>
        <w:t>五、服务期限</w:t>
      </w: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月1日至202</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月31日。</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六、付款方式</w:t>
      </w:r>
    </w:p>
    <w:p>
      <w:pPr>
        <w:spacing w:line="360" w:lineRule="auto"/>
        <w:ind w:firstLine="482" w:firstLineChars="200"/>
        <w:jc w:val="left"/>
        <w:rPr>
          <w:rFonts w:hint="eastAsia" w:asciiTheme="minorEastAsia" w:hAnsiTheme="minorEastAsia" w:eastAsiaTheme="minorEastAsia"/>
          <w:b/>
          <w:bCs/>
          <w:iCs/>
          <w:color w:val="auto"/>
          <w:sz w:val="24"/>
          <w:szCs w:val="24"/>
        </w:rPr>
      </w:pPr>
      <w:r>
        <w:rPr>
          <w:rFonts w:hint="eastAsia" w:asciiTheme="minorEastAsia" w:hAnsiTheme="minorEastAsia" w:eastAsiaTheme="minorEastAsia"/>
          <w:b/>
          <w:bCs/>
          <w:color w:val="auto"/>
          <w:sz w:val="24"/>
          <w:szCs w:val="24"/>
          <w:lang w:val="en-US" w:eastAsia="zh-CN"/>
        </w:rPr>
        <w:t>本</w:t>
      </w:r>
      <w:r>
        <w:rPr>
          <w:rFonts w:hint="eastAsia" w:asciiTheme="minorEastAsia" w:hAnsiTheme="minorEastAsia" w:eastAsiaTheme="minorEastAsia"/>
          <w:b/>
          <w:bCs/>
          <w:color w:val="auto"/>
          <w:sz w:val="24"/>
          <w:szCs w:val="24"/>
        </w:rPr>
        <w:t>合同</w:t>
      </w:r>
      <w:r>
        <w:rPr>
          <w:rFonts w:hint="eastAsia" w:asciiTheme="minorEastAsia" w:hAnsiTheme="minorEastAsia" w:eastAsiaTheme="minorEastAsia"/>
          <w:b/>
          <w:bCs/>
          <w:color w:val="auto"/>
          <w:sz w:val="24"/>
          <w:szCs w:val="24"/>
          <w:lang w:val="en-US" w:eastAsia="zh-CN"/>
        </w:rPr>
        <w:t>费用由维修保养费和配件费组成，费用按季度支付，每季度末经甲方验收且合格后，由乙方提供增值税专用发票(税率 %)，甲方以转账方式于下季度的15日前（遇国家法定节假日顺延）支付上个季度费用。</w:t>
      </w:r>
    </w:p>
    <w:p>
      <w:pPr>
        <w:spacing w:line="480" w:lineRule="auto"/>
        <w:ind w:left="69" w:leftChars="33" w:firstLine="480" w:firstLineChars="200"/>
        <w:rPr>
          <w:rFonts w:hint="eastAsia"/>
        </w:rPr>
      </w:pPr>
      <w:r>
        <w:rPr>
          <w:rFonts w:hint="eastAsia"/>
          <w:color w:val="auto"/>
          <w:sz w:val="24"/>
        </w:rPr>
        <w:t>该项目建设单位为</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r>
        <w:rPr>
          <w:rFonts w:hint="eastAsia"/>
          <w:color w:val="auto"/>
          <w:sz w:val="24"/>
        </w:rPr>
        <w:t>，项目由建设单位委托甲方进行代建工作，乙方为施工单位，乙方开具发票抬头为</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p>
    <w:p>
      <w:pPr>
        <w:spacing w:line="480" w:lineRule="auto"/>
        <w:ind w:left="69" w:leftChars="33" w:firstLine="480" w:firstLineChars="200"/>
        <w:rPr>
          <w:rFonts w:hint="eastAsia" w:ascii="宋体" w:hAnsi="宋体" w:cs="宋体"/>
          <w:bCs/>
          <w:color w:val="auto"/>
          <w:sz w:val="24"/>
        </w:rPr>
      </w:pPr>
      <w:r>
        <w:rPr>
          <w:rFonts w:hint="eastAsia"/>
          <w:color w:val="auto"/>
          <w:sz w:val="24"/>
        </w:rPr>
        <w:t>并将相应请款材料递交给甲方，由甲方负责向</w:t>
      </w:r>
      <w:r>
        <w:rPr>
          <w:rFonts w:hint="eastAsia" w:ascii="宋体" w:hAnsi="宋体" w:cs="宋体"/>
          <w:bCs/>
          <w:color w:val="auto"/>
          <w:sz w:val="24"/>
        </w:rPr>
        <w:t>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p>
    <w:p>
      <w:pPr>
        <w:spacing w:line="480" w:lineRule="auto"/>
        <w:ind w:left="0" w:leftChars="0" w:firstLine="0" w:firstLineChars="0"/>
        <w:rPr>
          <w:rFonts w:hint="eastAsia" w:ascii="宋体" w:hAnsi="宋体" w:cs="宋体"/>
          <w:color w:val="auto"/>
          <w:sz w:val="24"/>
        </w:rPr>
      </w:pPr>
      <w:r>
        <w:rPr>
          <w:rFonts w:hint="eastAsia"/>
          <w:color w:val="auto"/>
          <w:sz w:val="24"/>
        </w:rPr>
        <w:t>请款支付给乙方。</w:t>
      </w:r>
      <w:r>
        <w:rPr>
          <w:rFonts w:hint="eastAsia" w:ascii="宋体" w:hAnsi="宋体" w:cs="宋体"/>
          <w:bCs/>
          <w:color w:val="auto"/>
          <w:sz w:val="24"/>
        </w:rPr>
        <w:t>（开票资料如下）</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单位名称：厦门路桥</w:t>
      </w:r>
      <w:r>
        <w:rPr>
          <w:rFonts w:hint="eastAsia" w:ascii="宋体" w:hAnsi="宋体" w:cs="宋体"/>
          <w:bCs/>
          <w:color w:val="auto"/>
          <w:sz w:val="24"/>
          <w:lang w:val="en-US" w:eastAsia="zh-CN"/>
        </w:rPr>
        <w:t>城市服务发展</w:t>
      </w:r>
      <w:r>
        <w:rPr>
          <w:rFonts w:hint="eastAsia" w:ascii="宋体" w:hAnsi="宋体" w:cs="宋体"/>
          <w:bCs/>
          <w:color w:val="auto"/>
          <w:sz w:val="24"/>
        </w:rPr>
        <w:t>有限公司</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税号：91350206685292746Q</w:t>
      </w:r>
    </w:p>
    <w:p>
      <w:pPr>
        <w:spacing w:line="480" w:lineRule="auto"/>
        <w:ind w:left="69" w:leftChars="33" w:firstLine="480" w:firstLineChars="200"/>
        <w:rPr>
          <w:rFonts w:hint="eastAsia" w:ascii="宋体" w:hAnsi="宋体" w:cs="宋体"/>
          <w:bCs/>
          <w:color w:val="auto"/>
          <w:sz w:val="24"/>
        </w:rPr>
      </w:pPr>
      <w:r>
        <w:rPr>
          <w:rFonts w:hint="eastAsia" w:ascii="宋体" w:hAnsi="宋体" w:cs="宋体"/>
          <w:bCs/>
          <w:color w:val="auto"/>
          <w:sz w:val="24"/>
        </w:rPr>
        <w:t>开户行：中国建设银行股份有限公司厦门自贸试验区航空港支行</w:t>
      </w:r>
    </w:p>
    <w:p>
      <w:pPr>
        <w:spacing w:line="480" w:lineRule="auto"/>
        <w:ind w:left="69" w:leftChars="33" w:firstLine="480" w:firstLineChars="200"/>
        <w:rPr>
          <w:rFonts w:hint="eastAsia" w:asciiTheme="minorEastAsia" w:hAnsiTheme="minorEastAsia" w:eastAsiaTheme="minorEastAsia"/>
          <w:color w:val="auto"/>
          <w:sz w:val="24"/>
          <w:szCs w:val="24"/>
        </w:rPr>
      </w:pPr>
      <w:r>
        <w:rPr>
          <w:rFonts w:hint="eastAsia" w:ascii="宋体" w:hAnsi="宋体" w:cs="宋体"/>
          <w:bCs/>
          <w:color w:val="auto"/>
          <w:sz w:val="24"/>
        </w:rPr>
        <w:t>账号：35101570201052504567</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 xml:space="preserve">七、双方的权利与义务 </w:t>
      </w:r>
    </w:p>
    <w:p>
      <w:pPr>
        <w:spacing w:line="360" w:lineRule="auto"/>
        <w:rPr>
          <w:rFonts w:asciiTheme="minorEastAsia" w:hAnsiTheme="minorEastAsia" w:eastAsiaTheme="minorEastAsia"/>
          <w:color w:val="auto"/>
          <w:sz w:val="24"/>
          <w:szCs w:val="24"/>
        </w:rPr>
      </w:pP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rPr>
        <w:t xml:space="preserve">（一）甲方权利及义务 </w:t>
      </w:r>
    </w:p>
    <w:p>
      <w:pPr>
        <w:spacing w:line="360" w:lineRule="auto"/>
        <w:ind w:firstLine="480" w:firstLineChars="200"/>
        <w:rPr>
          <w:rFonts w:asciiTheme="minorEastAsia" w:hAnsiTheme="minorEastAsia" w:eastAsiaTheme="minorEastAsia"/>
          <w:b w:val="0"/>
          <w:bCs w:val="0"/>
          <w:color w:val="auto"/>
          <w:sz w:val="24"/>
          <w:szCs w:val="24"/>
        </w:rPr>
      </w:pPr>
      <w:r>
        <w:rPr>
          <w:rFonts w:hint="eastAsia" w:asciiTheme="minorEastAsia" w:hAnsiTheme="minorEastAsia" w:eastAsiaTheme="minorEastAsia"/>
          <w:color w:val="auto"/>
          <w:sz w:val="24"/>
          <w:szCs w:val="24"/>
        </w:rPr>
        <w:t>1</w:t>
      </w:r>
      <w:r>
        <w:rPr>
          <w:rFonts w:hint="eastAsia" w:asciiTheme="minorEastAsia" w:hAnsiTheme="minorEastAsia" w:eastAsiaTheme="minorEastAsia"/>
          <w:b w:val="0"/>
          <w:bCs w:val="0"/>
          <w:color w:val="auto"/>
          <w:sz w:val="24"/>
          <w:szCs w:val="24"/>
        </w:rPr>
        <w:t>．甲方有权对乙方工作进行检查、监督、考核。</w:t>
      </w:r>
    </w:p>
    <w:p>
      <w:pPr>
        <w:spacing w:line="360" w:lineRule="auto"/>
        <w:ind w:firstLine="480" w:firstLineChars="200"/>
        <w:rPr>
          <w:rFonts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2.甲方确认</w:t>
      </w:r>
      <w:r>
        <w:rPr>
          <w:rFonts w:hint="eastAsia" w:asciiTheme="minorEastAsia" w:hAnsiTheme="minorEastAsia" w:eastAsiaTheme="minorEastAsia"/>
          <w:b w:val="0"/>
          <w:bCs w:val="0"/>
          <w:color w:val="auto"/>
          <w:sz w:val="24"/>
          <w:szCs w:val="24"/>
          <w:lang w:val="en-US" w:eastAsia="zh-CN"/>
        </w:rPr>
        <w:t>对</w:t>
      </w:r>
      <w:r>
        <w:rPr>
          <w:rFonts w:hint="eastAsia" w:asciiTheme="minorEastAsia" w:hAnsiTheme="minorEastAsia" w:eastAsiaTheme="minorEastAsia"/>
          <w:b w:val="0"/>
          <w:bCs w:val="0"/>
          <w:color w:val="auto"/>
          <w:sz w:val="24"/>
          <w:szCs w:val="24"/>
        </w:rPr>
        <w:t>乙方完成</w:t>
      </w:r>
      <w:r>
        <w:rPr>
          <w:rFonts w:hint="eastAsia" w:asciiTheme="minorEastAsia" w:hAnsiTheme="minorEastAsia" w:eastAsiaTheme="minorEastAsia"/>
          <w:b w:val="0"/>
          <w:bCs w:val="0"/>
          <w:color w:val="auto"/>
          <w:sz w:val="24"/>
          <w:szCs w:val="24"/>
          <w:lang w:val="en-US" w:eastAsia="zh-CN"/>
        </w:rPr>
        <w:t>的既定</w:t>
      </w:r>
      <w:r>
        <w:rPr>
          <w:rFonts w:hint="eastAsia" w:asciiTheme="minorEastAsia" w:hAnsiTheme="minorEastAsia" w:eastAsiaTheme="minorEastAsia"/>
          <w:b w:val="0"/>
          <w:bCs w:val="0"/>
          <w:color w:val="auto"/>
          <w:sz w:val="24"/>
          <w:szCs w:val="24"/>
        </w:rPr>
        <w:t>工程量后</w:t>
      </w:r>
      <w:r>
        <w:rPr>
          <w:rFonts w:hint="eastAsia" w:asciiTheme="minorEastAsia" w:hAnsiTheme="minorEastAsia" w:eastAsiaTheme="minorEastAsia"/>
          <w:b w:val="0"/>
          <w:bCs w:val="0"/>
          <w:color w:val="auto"/>
          <w:sz w:val="24"/>
          <w:szCs w:val="24"/>
          <w:lang w:eastAsia="zh-CN"/>
        </w:rPr>
        <w:t>，</w:t>
      </w:r>
      <w:r>
        <w:rPr>
          <w:rFonts w:hint="eastAsia" w:asciiTheme="minorEastAsia" w:hAnsiTheme="minorEastAsia" w:eastAsiaTheme="minorEastAsia"/>
          <w:b w:val="0"/>
          <w:bCs w:val="0"/>
          <w:color w:val="auto"/>
          <w:sz w:val="24"/>
          <w:szCs w:val="24"/>
          <w:lang w:val="en-US" w:eastAsia="zh-CN"/>
        </w:rPr>
        <w:t>应</w:t>
      </w:r>
      <w:r>
        <w:rPr>
          <w:rFonts w:hint="eastAsia" w:asciiTheme="minorEastAsia" w:hAnsiTheme="minorEastAsia" w:eastAsiaTheme="minorEastAsia"/>
          <w:b w:val="0"/>
          <w:bCs w:val="0"/>
          <w:color w:val="auto"/>
          <w:sz w:val="24"/>
          <w:szCs w:val="24"/>
        </w:rPr>
        <w:t>据实结算。</w:t>
      </w:r>
    </w:p>
    <w:p>
      <w:pPr>
        <w:spacing w:line="360" w:lineRule="auto"/>
        <w:ind w:firstLine="480" w:firstLineChars="200"/>
        <w:rPr>
          <w:rFonts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3.为乙方提供安全、不受干扰的作业面，协调乙方与现场其他人员工作；</w:t>
      </w:r>
    </w:p>
    <w:p>
      <w:pPr>
        <w:spacing w:line="360" w:lineRule="auto"/>
        <w:ind w:firstLine="480" w:firstLineChars="200"/>
        <w:rPr>
          <w:rFonts w:hint="eastAsia" w:asciiTheme="minorEastAsia" w:hAnsiTheme="minorEastAsia" w:eastAsiaTheme="minorEastAsia"/>
          <w:b w:val="0"/>
          <w:bCs w:val="0"/>
          <w:color w:val="auto"/>
          <w:sz w:val="24"/>
          <w:szCs w:val="24"/>
        </w:rPr>
      </w:pPr>
      <w:r>
        <w:rPr>
          <w:rFonts w:hint="eastAsia" w:asciiTheme="minorEastAsia" w:hAnsiTheme="minorEastAsia" w:eastAsiaTheme="minorEastAsia"/>
          <w:b w:val="0"/>
          <w:bCs w:val="0"/>
          <w:color w:val="auto"/>
          <w:sz w:val="24"/>
          <w:szCs w:val="24"/>
        </w:rPr>
        <w:t>4.水、电等能源由甲方无偿提供；</w:t>
      </w:r>
    </w:p>
    <w:p>
      <w:pPr>
        <w:spacing w:line="360" w:lineRule="auto"/>
        <w:ind w:firstLine="482" w:firstLineChars="200"/>
        <w:rPr>
          <w:rFonts w:hint="eastAsia" w:asciiTheme="minorEastAsia" w:hAnsiTheme="minorEastAsia" w:eastAsiaTheme="minorEastAsia"/>
          <w:b/>
          <w:color w:val="auto"/>
          <w:sz w:val="24"/>
          <w:szCs w:val="24"/>
          <w:lang w:val="en-US" w:eastAsia="zh-CN"/>
        </w:rPr>
      </w:pPr>
      <w:r>
        <w:rPr>
          <w:rFonts w:hint="eastAsia" w:asciiTheme="minorEastAsia" w:hAnsiTheme="minorEastAsia" w:eastAsiaTheme="minorEastAsia"/>
          <w:b/>
          <w:color w:val="auto"/>
          <w:sz w:val="24"/>
          <w:szCs w:val="24"/>
          <w:lang w:val="en-US" w:eastAsia="zh-CN"/>
        </w:rPr>
        <w:t>5、甲方定期对乙方的服务进度进行检查，如果连续3次未能按照计划完成，甲方有权单方解约。</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（二）乙方权利及义务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1．乙方须配合甲方管理、监督、考核。</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2．乙方应做好安全责任工作及安全教育，保证施工人员及第三人的安全，否则造成一切损失及影响由乙方承担。</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3．乙方须配合甲方制定</w:t>
      </w:r>
      <w:r>
        <w:rPr>
          <w:rFonts w:hint="eastAsia" w:asciiTheme="minorEastAsia" w:hAnsiTheme="minorEastAsia" w:eastAsiaTheme="minorEastAsia"/>
          <w:color w:val="auto"/>
          <w:sz w:val="24"/>
          <w:szCs w:val="24"/>
          <w:lang w:val="en-US" w:eastAsia="zh-CN"/>
        </w:rPr>
        <w:t>的</w:t>
      </w:r>
      <w:r>
        <w:rPr>
          <w:rFonts w:hint="eastAsia" w:asciiTheme="minorEastAsia" w:hAnsiTheme="minorEastAsia" w:eastAsiaTheme="minorEastAsia"/>
          <w:color w:val="auto"/>
          <w:sz w:val="24"/>
          <w:szCs w:val="24"/>
        </w:rPr>
        <w:t>全年、季度、月相关维修保养工作计划</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时间安排见附件）进行巡逻检查，并形成巡检记录</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同时做好</w:t>
      </w:r>
      <w:r>
        <w:rPr>
          <w:rFonts w:hint="eastAsia" w:asciiTheme="minorEastAsia" w:hAnsiTheme="minorEastAsia" w:eastAsiaTheme="minorEastAsia"/>
          <w:color w:val="auto"/>
          <w:sz w:val="24"/>
          <w:szCs w:val="24"/>
        </w:rPr>
        <w:t>内业归档工作</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4．乙方维修工作中需做好维修善后事宜，有损坏到其他相关物品须恢复原样，并做好维修场地及工作区域的卫生。</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．乙方须有专业维修人员常驻现场，其中项目经理及巡查人员必须是专职人员</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rPr>
        <w:t>应对应急事件发生</w:t>
      </w:r>
      <w:r>
        <w:rPr>
          <w:rFonts w:hint="eastAsia" w:asciiTheme="minorEastAsia" w:hAnsiTheme="minorEastAsia" w:eastAsiaTheme="minorEastAsia"/>
          <w:color w:val="auto"/>
          <w:sz w:val="24"/>
          <w:szCs w:val="24"/>
          <w:lang w:val="en-US" w:eastAsia="zh-CN"/>
        </w:rPr>
        <w:t>时</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20</w:t>
      </w:r>
      <w:r>
        <w:rPr>
          <w:rFonts w:hint="eastAsia" w:asciiTheme="minorEastAsia" w:hAnsiTheme="minorEastAsia" w:eastAsiaTheme="minorEastAsia"/>
          <w:color w:val="auto"/>
          <w:sz w:val="24"/>
          <w:szCs w:val="24"/>
        </w:rPr>
        <w:t>分钟内</w:t>
      </w:r>
      <w:r>
        <w:rPr>
          <w:rFonts w:hint="eastAsia" w:asciiTheme="minorEastAsia" w:hAnsiTheme="minorEastAsia" w:eastAsiaTheme="minorEastAsia"/>
          <w:color w:val="auto"/>
          <w:sz w:val="24"/>
          <w:szCs w:val="24"/>
          <w:lang w:val="en-US" w:eastAsia="zh-CN"/>
        </w:rPr>
        <w:t>应</w:t>
      </w:r>
      <w:r>
        <w:rPr>
          <w:rFonts w:hint="eastAsia" w:asciiTheme="minorEastAsia" w:hAnsiTheme="minorEastAsia" w:eastAsiaTheme="minorEastAsia"/>
          <w:color w:val="auto"/>
          <w:sz w:val="24"/>
          <w:szCs w:val="24"/>
        </w:rPr>
        <w:t>赶到现场处理</w:t>
      </w: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联系人为：</w:t>
      </w:r>
      <w:r>
        <w:rPr>
          <w:rFonts w:hint="eastAsia" w:asciiTheme="minorEastAsia" w:hAnsiTheme="minorEastAsia" w:eastAsiaTheme="minorEastAsia"/>
          <w:color w:val="auto"/>
          <w:sz w:val="24"/>
          <w:szCs w:val="24"/>
          <w:u w:val="single"/>
          <w:lang w:val="en-US" w:eastAsia="zh-CN"/>
        </w:rPr>
        <w:t xml:space="preserve">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．乙方</w:t>
      </w:r>
      <w:r>
        <w:rPr>
          <w:rFonts w:hint="eastAsia" w:asciiTheme="minorEastAsia" w:hAnsiTheme="minorEastAsia" w:eastAsiaTheme="minorEastAsia"/>
          <w:color w:val="auto"/>
          <w:sz w:val="24"/>
          <w:szCs w:val="24"/>
          <w:lang w:val="en-US" w:eastAsia="zh-CN"/>
        </w:rPr>
        <w:t>应在工作现场</w:t>
      </w:r>
      <w:r>
        <w:rPr>
          <w:rFonts w:hint="eastAsia" w:asciiTheme="minorEastAsia" w:hAnsiTheme="minorEastAsia" w:eastAsiaTheme="minorEastAsia"/>
          <w:color w:val="auto"/>
          <w:sz w:val="24"/>
          <w:szCs w:val="24"/>
        </w:rPr>
        <w:t>储备维修及抢修物质。</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．乙方发现安全隐患应及时准确处理，并第一时间通知甲方。否则，乙方应承担一切责任及损失。</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．乙方特种工作人员必须持证上岗，并将相关人员上报甲方备案。</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9</w:t>
      </w:r>
      <w:r>
        <w:rPr>
          <w:rFonts w:hint="eastAsia" w:asciiTheme="minorEastAsia" w:hAnsiTheme="minorEastAsia" w:eastAsiaTheme="minorEastAsia"/>
          <w:color w:val="auto"/>
          <w:sz w:val="24"/>
          <w:szCs w:val="24"/>
        </w:rPr>
        <w:t>.乙方在合同</w:t>
      </w:r>
      <w:r>
        <w:rPr>
          <w:rFonts w:hint="eastAsia" w:asciiTheme="minorEastAsia" w:hAnsiTheme="minorEastAsia" w:eastAsiaTheme="minorEastAsia"/>
          <w:color w:val="auto"/>
          <w:sz w:val="24"/>
          <w:szCs w:val="24"/>
          <w:lang w:val="en-US" w:eastAsia="zh-CN"/>
        </w:rPr>
        <w:t>履行</w:t>
      </w:r>
      <w:r>
        <w:rPr>
          <w:rFonts w:hint="eastAsia" w:asciiTheme="minorEastAsia" w:hAnsiTheme="minorEastAsia" w:eastAsiaTheme="minorEastAsia"/>
          <w:color w:val="auto"/>
          <w:sz w:val="24"/>
          <w:szCs w:val="24"/>
        </w:rPr>
        <w:t>期间，应遵守法律法规、</w:t>
      </w:r>
      <w:r>
        <w:rPr>
          <w:rFonts w:hint="eastAsia" w:asciiTheme="minorEastAsia" w:hAnsiTheme="minorEastAsia" w:eastAsiaTheme="minorEastAsia"/>
          <w:color w:val="auto"/>
          <w:sz w:val="24"/>
          <w:szCs w:val="24"/>
          <w:lang w:val="en-US" w:eastAsia="zh-CN"/>
        </w:rPr>
        <w:t>地方性法规</w:t>
      </w: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若因此</w:t>
      </w:r>
      <w:r>
        <w:rPr>
          <w:rFonts w:hint="eastAsia" w:asciiTheme="minorEastAsia" w:hAnsiTheme="minorEastAsia" w:eastAsiaTheme="minorEastAsia"/>
          <w:color w:val="auto"/>
          <w:sz w:val="24"/>
          <w:szCs w:val="24"/>
        </w:rPr>
        <w:t>使甲方受到</w:t>
      </w:r>
      <w:r>
        <w:rPr>
          <w:rFonts w:hint="eastAsia" w:asciiTheme="minorEastAsia" w:hAnsiTheme="minorEastAsia" w:eastAsiaTheme="minorEastAsia"/>
          <w:color w:val="auto"/>
          <w:sz w:val="24"/>
          <w:szCs w:val="24"/>
          <w:lang w:val="en-US" w:eastAsia="zh-CN"/>
        </w:rPr>
        <w:t>行政主管部门</w:t>
      </w:r>
      <w:r>
        <w:rPr>
          <w:rFonts w:hint="eastAsia" w:asciiTheme="minorEastAsia" w:hAnsiTheme="minorEastAsia" w:eastAsiaTheme="minorEastAsia"/>
          <w:color w:val="auto"/>
          <w:sz w:val="24"/>
          <w:szCs w:val="24"/>
        </w:rPr>
        <w:t>的处罚，</w:t>
      </w:r>
      <w:r>
        <w:rPr>
          <w:rFonts w:hint="eastAsia" w:asciiTheme="minorEastAsia" w:hAnsiTheme="minorEastAsia" w:eastAsiaTheme="minorEastAsia"/>
          <w:color w:val="auto"/>
          <w:sz w:val="24"/>
          <w:szCs w:val="24"/>
          <w:lang w:val="en-US" w:eastAsia="zh-CN"/>
        </w:rPr>
        <w:t>损失</w:t>
      </w:r>
      <w:r>
        <w:rPr>
          <w:rFonts w:hint="eastAsia" w:asciiTheme="minorEastAsia" w:hAnsiTheme="minorEastAsia" w:eastAsiaTheme="minorEastAsia"/>
          <w:color w:val="auto"/>
          <w:sz w:val="24"/>
          <w:szCs w:val="24"/>
        </w:rPr>
        <w:t>应由乙方承担。</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10</w:t>
      </w:r>
      <w:r>
        <w:rPr>
          <w:rFonts w:hint="eastAsia" w:asciiTheme="minorEastAsia" w:hAnsiTheme="minorEastAsia" w:eastAsiaTheme="minorEastAsia"/>
          <w:color w:val="auto"/>
          <w:sz w:val="24"/>
          <w:szCs w:val="24"/>
        </w:rPr>
        <w:t>.乙方应严格按本合同约定，保质保量完成相关工作，未经甲方书面同意，不允许转包或分包。</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 xml:space="preserve">八、合同的修改及解除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本合同的任何修改须经双方协商一致，任何一方不得擅自修改本合同，否则无效，且修改方必须对此承担违约责任。</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九、违约责任</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一）</w:t>
      </w:r>
      <w:r>
        <w:rPr>
          <w:rFonts w:hint="eastAsia" w:asciiTheme="minorEastAsia" w:hAnsiTheme="minorEastAsia" w:eastAsiaTheme="minorEastAsia"/>
          <w:color w:val="auto"/>
          <w:sz w:val="24"/>
          <w:szCs w:val="24"/>
        </w:rPr>
        <w:t>甲方的违约责任</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 xml:space="preserve">由于甲方原因，导致本工程部分项目无法实施，甲方应立即办理结算付款，甲方应向乙方支付工程总造价的10%的违约金。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 xml:space="preserve">甲方应当在接到乙方的验收通知后3日内进行验收；超过3日未验收的，视为工程验收合格，甲方应当付款；甲方无正当理由拒绝验收的，应当承担由此造成的损失。 </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二）</w:t>
      </w:r>
      <w:r>
        <w:rPr>
          <w:rFonts w:hint="eastAsia" w:asciiTheme="minorEastAsia" w:hAnsiTheme="minorEastAsia" w:eastAsiaTheme="minorEastAsia"/>
          <w:color w:val="auto"/>
          <w:sz w:val="24"/>
          <w:szCs w:val="24"/>
        </w:rPr>
        <w:t>乙方的违约责任</w:t>
      </w:r>
    </w:p>
    <w:p>
      <w:pPr>
        <w:spacing w:line="360" w:lineRule="auto"/>
        <w:ind w:firstLine="480" w:firstLineChars="20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lang w:val="en-US" w:eastAsia="zh-CN"/>
        </w:rPr>
        <w:t>1、甲方对乙方工作实行考评与验收，采取季度考评方式。验收不合格的扣减当季度5%维修保养费用作为惩罚。</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除存在本合同约定的原因外，乙方逾期完工的，每延误一天应向甲方赔偿合同价款的0.1‰作为违约金，拖延工期赔偿金额限为合同总价款的10%。乙方逾期交付达30天，甲方有权终止或解除合同，并要求乙方赔偿损失。</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因质量问题导致验收不合格的，乙方应该返工并在合同约定的交付期内重新提交工作成果；不能在合同约定的交付期内重新提交工作成果的，应及时通知甲方，并承担逾期交付的责任。经过返工，仍验收不合格的，甲方有权拒收并解除合同，由此造成的损失由乙方赔偿。</w:t>
      </w:r>
    </w:p>
    <w:p>
      <w:pPr>
        <w:spacing w:line="360" w:lineRule="auto"/>
        <w:ind w:firstLine="482"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十、其他事项</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一）</w:t>
      </w:r>
      <w:r>
        <w:rPr>
          <w:rFonts w:hint="eastAsia" w:asciiTheme="minorEastAsia" w:hAnsiTheme="minorEastAsia" w:eastAsiaTheme="minorEastAsia"/>
          <w:color w:val="auto"/>
          <w:sz w:val="24"/>
          <w:szCs w:val="24"/>
        </w:rPr>
        <w:t>未尽事宜，经甲、乙双方协商一致，可另行签订补充协议，补充协议及其附件均为本合同的组成部分，与本合同具有同等法律效力。</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w:t>
      </w:r>
      <w:r>
        <w:rPr>
          <w:rFonts w:hint="eastAsia" w:asciiTheme="minorEastAsia" w:hAnsiTheme="minorEastAsia" w:eastAsiaTheme="minorEastAsia"/>
          <w:color w:val="auto"/>
          <w:sz w:val="24"/>
          <w:szCs w:val="24"/>
          <w:lang w:val="en-US" w:eastAsia="zh-CN"/>
        </w:rPr>
        <w:t>二）</w:t>
      </w:r>
      <w:r>
        <w:rPr>
          <w:rFonts w:hint="eastAsia" w:asciiTheme="minorEastAsia" w:hAnsiTheme="minorEastAsia" w:eastAsiaTheme="minorEastAsia"/>
          <w:color w:val="auto"/>
          <w:sz w:val="24"/>
          <w:szCs w:val="24"/>
        </w:rPr>
        <w:t>本合同条款的解释或本合同履行过程中发生的争议，应由双方友好协商，协商无法解决的，双方同意向甲方所在地人民法院起诉。</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3.本合同经双方盖章后</w:t>
      </w:r>
      <w:r>
        <w:rPr>
          <w:rFonts w:hint="eastAsia" w:asciiTheme="minorEastAsia" w:hAnsiTheme="minorEastAsia" w:eastAsiaTheme="minorEastAsia"/>
          <w:color w:val="auto"/>
          <w:sz w:val="24"/>
          <w:szCs w:val="24"/>
          <w:lang w:val="en-US" w:eastAsia="zh-CN"/>
        </w:rPr>
        <w:t>成立生效</w:t>
      </w:r>
      <w:r>
        <w:rPr>
          <w:rFonts w:hint="eastAsia" w:asciiTheme="minorEastAsia" w:hAnsiTheme="minorEastAsia" w:eastAsiaTheme="minorEastAsia"/>
          <w:color w:val="auto"/>
          <w:sz w:val="24"/>
          <w:szCs w:val="24"/>
        </w:rPr>
        <w:t>。</w:t>
      </w: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4.本合同一式</w:t>
      </w:r>
      <w:r>
        <w:rPr>
          <w:rFonts w:hint="eastAsia" w:asciiTheme="minorEastAsia" w:hAnsiTheme="minorEastAsia" w:eastAsiaTheme="minorEastAsia"/>
          <w:color w:val="auto"/>
          <w:sz w:val="24"/>
          <w:szCs w:val="24"/>
          <w:lang w:val="en-US" w:eastAsia="zh-CN"/>
        </w:rPr>
        <w:t>贰</w:t>
      </w:r>
      <w:r>
        <w:rPr>
          <w:rFonts w:hint="eastAsia" w:asciiTheme="minorEastAsia" w:hAnsiTheme="minorEastAsia" w:eastAsiaTheme="minorEastAsia"/>
          <w:color w:val="auto"/>
          <w:sz w:val="24"/>
          <w:szCs w:val="24"/>
        </w:rPr>
        <w:t>份，甲乙双方各执</w:t>
      </w:r>
      <w:r>
        <w:rPr>
          <w:rFonts w:hint="eastAsia" w:asciiTheme="minorEastAsia" w:hAnsiTheme="minorEastAsia" w:eastAsiaTheme="minorEastAsia"/>
          <w:color w:val="auto"/>
          <w:sz w:val="24"/>
          <w:szCs w:val="24"/>
          <w:lang w:val="en-US" w:eastAsia="zh-CN"/>
        </w:rPr>
        <w:t>壹</w:t>
      </w:r>
      <w:r>
        <w:rPr>
          <w:rFonts w:hint="eastAsia" w:asciiTheme="minorEastAsia" w:hAnsiTheme="minorEastAsia" w:eastAsiaTheme="minorEastAsia"/>
          <w:color w:val="auto"/>
          <w:sz w:val="24"/>
          <w:szCs w:val="24"/>
        </w:rPr>
        <w:t>份。</w:t>
      </w:r>
    </w:p>
    <w:p>
      <w:pPr>
        <w:spacing w:line="360" w:lineRule="auto"/>
        <w:rPr>
          <w:rFonts w:asciiTheme="minorEastAsia" w:hAnsiTheme="minorEastAsia" w:eastAsiaTheme="minorEastAsia"/>
          <w:color w:val="auto"/>
          <w:sz w:val="24"/>
          <w:szCs w:val="24"/>
        </w:rPr>
      </w:pPr>
    </w:p>
    <w:p>
      <w:pPr>
        <w:spacing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甲方：</w:t>
      </w:r>
      <w:r>
        <w:rPr>
          <w:rFonts w:hint="eastAsia" w:asciiTheme="minorEastAsia" w:hAnsiTheme="minorEastAsia" w:eastAsiaTheme="minorEastAsia"/>
          <w:color w:val="auto"/>
          <w:sz w:val="24"/>
          <w:szCs w:val="24"/>
          <w:lang w:val="en-US" w:eastAsia="zh-CN"/>
        </w:rPr>
        <w:t>厦门五缘游艇文化发展有限公司</w:t>
      </w:r>
      <w:r>
        <w:rPr>
          <w:rFonts w:hint="eastAsia" w:asciiTheme="minorEastAsia" w:hAnsiTheme="minorEastAsia" w:eastAsiaTheme="minorEastAsia"/>
          <w:color w:val="auto"/>
          <w:sz w:val="24"/>
          <w:szCs w:val="24"/>
        </w:rPr>
        <w:t xml:space="preserve">      乙方： </w:t>
      </w:r>
    </w:p>
    <w:p>
      <w:pPr>
        <w:widowControl/>
        <w:snapToGrid w:val="0"/>
        <w:spacing w:line="360" w:lineRule="auto"/>
        <w:ind w:firstLine="480"/>
        <w:jc w:val="left"/>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经办人：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经办人：</w:t>
      </w:r>
    </w:p>
    <w:p>
      <w:pPr>
        <w:widowControl/>
        <w:snapToGrid w:val="0"/>
        <w:spacing w:line="360" w:lineRule="auto"/>
        <w:ind w:firstLine="480"/>
        <w:jc w:val="left"/>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 xml:space="preserve">签订日期:                         </w:t>
      </w:r>
      <w:r>
        <w:rPr>
          <w:rFonts w:hint="eastAsia" w:asciiTheme="minorEastAsia" w:hAnsiTheme="minorEastAsia" w:eastAsiaTheme="minorEastAsia"/>
          <w:color w:val="auto"/>
          <w:sz w:val="24"/>
          <w:szCs w:val="24"/>
          <w:lang w:val="en-US" w:eastAsia="zh-CN"/>
        </w:rPr>
        <w:t xml:space="preserve">  </w:t>
      </w:r>
      <w:r>
        <w:rPr>
          <w:rFonts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签订日期：</w:t>
      </w:r>
    </w:p>
    <w:p>
      <w:pPr>
        <w:widowControl/>
        <w:snapToGrid w:val="0"/>
        <w:spacing w:line="276" w:lineRule="auto"/>
        <w:ind w:firstLine="480"/>
        <w:jc w:val="left"/>
        <w:rPr>
          <w:rFonts w:ascii="宋体" w:hAnsi="宋体" w:cs="宋体"/>
          <w:b/>
          <w:color w:val="auto"/>
          <w:kern w:val="0"/>
          <w:sz w:val="24"/>
        </w:rPr>
        <w:sectPr>
          <w:pgSz w:w="11906" w:h="16838"/>
          <w:pgMar w:top="1247" w:right="1418" w:bottom="1418" w:left="1418" w:header="851" w:footer="992" w:gutter="0"/>
          <w:pgNumType w:fmt="decimal"/>
          <w:cols w:space="720" w:num="1"/>
          <w:titlePg/>
          <w:docGrid w:type="lines" w:linePitch="303" w:charSpace="0"/>
        </w:sectPr>
      </w:pPr>
    </w:p>
    <w:p>
      <w:pPr>
        <w:rPr>
          <w:rFonts w:ascii="宋体" w:hAnsi="宋体" w:cs="宋体"/>
          <w:b/>
          <w:bCs/>
          <w:color w:val="auto"/>
          <w:sz w:val="24"/>
          <w:szCs w:val="20"/>
        </w:rPr>
      </w:pPr>
      <w:r>
        <w:rPr>
          <w:rFonts w:hint="eastAsia" w:ascii="宋体" w:hAnsi="宋体" w:cs="宋体"/>
          <w:b/>
          <w:bCs/>
          <w:color w:val="auto"/>
          <w:sz w:val="24"/>
          <w:lang w:val="en-US" w:eastAsia="zh-CN"/>
        </w:rPr>
        <w:t>见附件</w:t>
      </w:r>
      <w:r>
        <w:rPr>
          <w:rFonts w:hint="eastAsia" w:ascii="宋体" w:hAnsi="宋体" w:eastAsia="宋体" w:cs="宋体"/>
          <w:b/>
          <w:bCs/>
          <w:i w:val="0"/>
          <w:iCs w:val="0"/>
          <w:color w:val="auto"/>
          <w:kern w:val="0"/>
          <w:sz w:val="22"/>
          <w:szCs w:val="22"/>
          <w:u w:val="none"/>
          <w:lang w:val="en-US" w:eastAsia="zh-CN" w:bidi="ar"/>
        </w:rPr>
        <w:t xml:space="preserve">  </w:t>
      </w:r>
      <w:r>
        <w:rPr>
          <w:rFonts w:hint="eastAsia" w:ascii="宋体" w:hAnsi="宋体" w:eastAsia="宋体" w:cs="宋体"/>
          <w:b/>
          <w:bCs/>
          <w:color w:val="auto"/>
          <w:sz w:val="24"/>
          <w:lang w:val="en-US" w:eastAsia="zh-CN"/>
        </w:rPr>
        <w:t>2023年度智能化维养清单</w:t>
      </w:r>
    </w:p>
    <w:p>
      <w:pPr>
        <w:ind w:right="560"/>
        <w:jc w:val="both"/>
        <w:rPr>
          <w:rFonts w:ascii="仿宋" w:hAnsi="仿宋" w:eastAsia="仿宋"/>
          <w:bCs/>
          <w:color w:val="auto"/>
          <w:sz w:val="28"/>
          <w:szCs w:val="28"/>
          <w:highlight w:val="none"/>
        </w:rPr>
      </w:pPr>
    </w:p>
    <w:p>
      <w:pPr>
        <w:numPr>
          <w:ilvl w:val="0"/>
          <w:numId w:val="0"/>
        </w:numPr>
        <w:spacing w:line="360" w:lineRule="auto"/>
        <w:ind w:left="568" w:leftChars="0"/>
        <w:jc w:val="left"/>
        <w:rPr>
          <w:rFonts w:ascii="仿宋" w:hAnsi="仿宋" w:eastAsia="仿宋" w:cs="仿宋"/>
          <w:bCs/>
          <w:color w:val="auto"/>
          <w:sz w:val="28"/>
          <w:szCs w:val="28"/>
        </w:rPr>
      </w:pPr>
      <w:r>
        <w:rPr>
          <w:rFonts w:hint="eastAsia" w:ascii="宋体" w:hAnsi="宋体" w:eastAsia="宋体" w:cs="宋体"/>
          <w:b/>
          <w:bCs/>
          <w:i w:val="0"/>
          <w:iCs w:val="0"/>
          <w:color w:val="auto"/>
          <w:kern w:val="0"/>
          <w:sz w:val="22"/>
          <w:szCs w:val="22"/>
          <w:u w:val="none"/>
          <w:lang w:val="en-US" w:eastAsia="zh-CN" w:bidi="ar"/>
        </w:rPr>
        <w:t xml:space="preserve"> </w:t>
      </w:r>
      <w:r>
        <w:rPr>
          <w:rFonts w:hint="eastAsia" w:ascii="宋体" w:hAnsi="宋体" w:cs="宋体"/>
          <w:b/>
          <w:bCs/>
          <w:color w:val="auto"/>
          <w:sz w:val="24"/>
          <w:szCs w:val="24"/>
        </w:rPr>
        <w:t>维护保养所需配件清单</w:t>
      </w:r>
      <w:r>
        <w:rPr>
          <w:rFonts w:ascii="宋体" w:hAnsi="宋体" w:cs="宋体"/>
          <w:b/>
          <w:bCs/>
          <w:color w:val="auto"/>
          <w:sz w:val="24"/>
          <w:szCs w:val="24"/>
        </w:rPr>
        <w:t xml:space="preserve">  </w:t>
      </w:r>
    </w:p>
    <w:tbl>
      <w:tblPr>
        <w:tblStyle w:val="41"/>
        <w:tblpPr w:leftFromText="180" w:rightFromText="180" w:vertAnchor="text" w:horzAnchor="page" w:tblpX="1115" w:tblpY="612"/>
        <w:tblOverlap w:val="never"/>
        <w:tblW w:w="92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3240"/>
        <w:gridCol w:w="2580"/>
        <w:gridCol w:w="916"/>
        <w:gridCol w:w="1016"/>
        <w:gridCol w:w="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名称</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品牌</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六类</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五类</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RVV4*1.0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SC32#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RVV3*1.5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RVV3*2.5</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光纤耦合器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枪机型摄像机支架</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DS-1229</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室外设备箱门锁</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MS309-2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把</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光纤盒</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8口</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 5米)</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12V3A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道闸遥控器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HF401DK</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双基LED拼接屏</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双基色</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百兆网络交换机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TL-SF1005MP</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摄像机专用电源（户外）</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24V3A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HD104(4K10米)</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5V40A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智能跟踪设备专用电源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JAH-24V 3A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新泰</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速通门同步线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SH-S201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速通门门板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60cm*30cm</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二合一防雷模块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AJ2C-12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安讯</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千兆单模（单/双）芯</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H3C</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二合一防雷模块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AJ2C-12</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博莱斯</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室外专用馈线AP防雷器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KLF-X-N</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凯利锋</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300*250*160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3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AC250V/DC12V10A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300*400*280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AC250V/DC24V10A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集中供电电源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AC250V/DC12V10A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SHOONIS</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机箱电源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大水牛</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TL-SF1009MP</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千兆光纤收发器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TL-FC311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控制机箱电源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DY12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威耕</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模独立型百兆单模单纤双向光纤收发器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TL-FC111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室内外防水音柱</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DSP 208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处理器网口接线板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BQ-RJ02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RG-ES209GC-P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不锈钢护栏</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SU304</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定制</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智能跟踪球机电路主板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D-TSC-HH200-18</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智能多目标跟踪广角摄像机电路主板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WAC-1080P-BY2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红外半球摄像头</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DS-2CD3145FDV2-I</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巡更棒</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LDH-T68-2</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乐德华</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环网式以太网交换机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3D226F-A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网络高清摄像机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DS-2CD4220XYZ-A</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网络高清半球摄像机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DS-IPC-T12-I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16口千兆网络交换机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S1700-16G</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华为</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LED液晶拼接屏电源</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JH-D46DLS-01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网络高清球型摄像机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DS-2DF7286-A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双门控制器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DS-K2601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吸顶AP</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三辊闸电路主板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德国卡巴</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KABA</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多目标智能跟踪处理器电路主板</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E900-P31200W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RG-EG105GW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球机转轴电机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BQ-150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12V100AH蓄电池</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C12-100阀控式密封铅酸蓄电池</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山特</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网络高清枪式摄像机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DS-2CD4824FWD-IZ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迪士普功放</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MP600PIII 250w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固定IP专网路由器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TL-ER6120G</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速通门控制器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CDSLVC101</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IOT硬盘（企业级）</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8TB</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身份验证模块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智能球机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DS-2DC7223IW</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多目标跟踪-枪式摄像机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博聪WAC-1080P-BY2</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信息化网-交换机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RG-NBS5200-24GT4XS</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46液晶显示器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JH-D463LL</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核心交换机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RG-NBS5750-28GT4XS-E </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多目标跟踪-球式摄像机</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博聪D-TSC-HH200-18</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32路视路存储，16盘位</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128路视路存储，24盘位</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人脸识别模块</w:t>
            </w:r>
          </w:p>
        </w:tc>
        <w:tc>
          <w:tcPr>
            <w:tcW w:w="2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bl>
    <w:p>
      <w:pPr>
        <w:keepLines/>
        <w:numPr>
          <w:ilvl w:val="0"/>
          <w:numId w:val="0"/>
        </w:numPr>
        <w:spacing w:line="360" w:lineRule="auto"/>
        <w:ind w:left="567" w:leftChars="0"/>
        <w:outlineLvl w:val="2"/>
        <w:rPr>
          <w:rFonts w:ascii="宋体" w:hAnsi="宋体" w:cs="宋体"/>
          <w:b/>
          <w:bCs/>
          <w:color w:val="auto"/>
          <w:sz w:val="24"/>
          <w:szCs w:val="20"/>
        </w:rPr>
      </w:pPr>
    </w:p>
    <w:p>
      <w:pPr>
        <w:keepLines/>
        <w:numPr>
          <w:ilvl w:val="0"/>
          <w:numId w:val="0"/>
        </w:numPr>
        <w:spacing w:line="360" w:lineRule="auto"/>
        <w:outlineLvl w:val="2"/>
        <w:rPr>
          <w:rFonts w:ascii="宋体" w:hAnsi="宋体" w:cs="宋体"/>
          <w:b/>
          <w:bCs/>
          <w:color w:val="auto"/>
          <w:sz w:val="24"/>
          <w:szCs w:val="20"/>
        </w:rPr>
      </w:pPr>
    </w:p>
    <w:p>
      <w:pPr>
        <w:ind w:right="560"/>
        <w:jc w:val="both"/>
        <w:rPr>
          <w:rFonts w:ascii="仿宋" w:hAnsi="仿宋" w:eastAsia="仿宋"/>
          <w:bCs/>
          <w:color w:val="auto"/>
          <w:sz w:val="28"/>
          <w:szCs w:val="28"/>
          <w:highlight w:val="none"/>
        </w:rPr>
      </w:pPr>
    </w:p>
    <w:p>
      <w:pPr>
        <w:ind w:right="560"/>
        <w:jc w:val="right"/>
        <w:rPr>
          <w:rFonts w:ascii="仿宋" w:hAnsi="仿宋" w:eastAsia="仿宋"/>
          <w:bCs/>
          <w:color w:val="auto"/>
          <w:sz w:val="28"/>
          <w:szCs w:val="28"/>
          <w:highlight w:val="none"/>
        </w:rPr>
        <w:sectPr>
          <w:headerReference r:id="rId6" w:type="default"/>
          <w:footerReference r:id="rId7" w:type="default"/>
          <w:pgSz w:w="11906" w:h="16838"/>
          <w:pgMar w:top="1701" w:right="1588" w:bottom="1701" w:left="1588" w:header="851" w:footer="1304" w:gutter="0"/>
          <w:pgNumType w:fmt="decimal"/>
          <w:cols w:space="720" w:num="1"/>
          <w:docGrid w:type="lines" w:linePitch="312" w:charSpace="0"/>
        </w:sectPr>
      </w:pPr>
    </w:p>
    <w:tbl>
      <w:tblPr>
        <w:tblStyle w:val="41"/>
        <w:tblW w:w="14660" w:type="dxa"/>
        <w:tblInd w:w="-28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7"/>
        <w:gridCol w:w="1067"/>
        <w:gridCol w:w="681"/>
        <w:gridCol w:w="740"/>
        <w:gridCol w:w="9601"/>
        <w:gridCol w:w="19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146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2"/>
                <w:szCs w:val="22"/>
                <w:u w:val="none"/>
                <w:lang w:val="en-US"/>
              </w:rPr>
            </w:pPr>
            <w:r>
              <w:rPr>
                <w:rFonts w:hint="eastAsia" w:ascii="仿宋_GB2312" w:hAnsi="仿宋" w:eastAsia="仿宋_GB2312"/>
                <w:b/>
                <w:bCs w:val="0"/>
                <w:color w:val="auto"/>
                <w:sz w:val="30"/>
                <w:szCs w:val="30"/>
                <w:lang w:val="en-US" w:eastAsia="zh-CN"/>
              </w:rPr>
              <w:t>附件二：</w:t>
            </w:r>
            <w:r>
              <w:rPr>
                <w:rFonts w:hint="eastAsia" w:ascii="仿宋_GB2312" w:hAnsi="仿宋" w:eastAsia="仿宋_GB2312"/>
                <w:b/>
                <w:bCs w:val="0"/>
                <w:color w:val="auto"/>
                <w:sz w:val="30"/>
                <w:szCs w:val="30"/>
              </w:rPr>
              <w:t>智能化设施维修保养标准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编号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设备/系统名称</w:t>
            </w:r>
          </w:p>
        </w:tc>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单位</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数量</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服务内容</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保养频率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软件系统（智能申报系统、码头信息化管理平台、游艇港比对系统）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要求所有服务器端和客户端的软件无卡机和假运行现象；包括对磁盘空间、系统日志、系统资源占用、访问性能等的检查；</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检查信息化平台与智能申报系统、游艇港比对系统各数据交互是否正常，各子系统与终端设备（闸机、自助机、航班显示与广播）硬件数据交互与控制是否正常、流畅；</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每月对业务数据和配置信息进行备份。定期检查备份数据是否安全可用；</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对病毒的监控、查杀及病毒防弹软件的升级：每月对病毒库进行升级，当有新的病毒出现时，随时升级。严禁发生病毒侵入或带入快速路内部网络；</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检查系统通过第三方接口与公安数据传输，包含Web Service、Socket、Web Api等多方式是否正常；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检查信息化平台与“游艇云售票系统”排班系统传输是否正常，数据链入有无丢包现象；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检查系统通过第三方接口与“游艇云票务系统平台”传输，包含Web Service、Socket、Web Api等是否正常；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检查系统通过第三方接口与“湖里公安分局视频联网”部分视频共享传输，包含Web Service、Socket、Web Api等是否正常；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备份并清理日志记录，避免发生磁盘空间溢出；包括对磁盘空间、系统日志、系统资源占用、访问性能等的检查；</w:t>
            </w:r>
          </w:p>
        </w:tc>
        <w:tc>
          <w:tcPr>
            <w:tcW w:w="199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季度</w:t>
            </w:r>
          </w:p>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2"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软件的安全级别符合《计算机信息系统安全保护等级划分准则》(GB17859)的有关规定。定期换系统密码，定期核准用户权限，防止系统出现越权访问。定期进行IP地址测试，检测非法用户，防止非法用户入侵；</w:t>
            </w:r>
          </w:p>
        </w:tc>
        <w:tc>
          <w:tcPr>
            <w:tcW w:w="1994"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针对现有网络进行整体性能评估，并针对网络的利用率进行优化及提出网络扩容和优化的建议；</w:t>
            </w:r>
          </w:p>
        </w:tc>
        <w:tc>
          <w:tcPr>
            <w:tcW w:w="199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液晶显示拼接屏 </w:t>
            </w:r>
            <w:r>
              <w:rPr>
                <w:rStyle w:val="117"/>
                <w:color w:val="auto"/>
                <w:lang w:val="en-US" w:eastAsia="zh-CN" w:bidi="ar"/>
              </w:rPr>
              <w:t xml:space="preserve">          （9块47寸)</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检查显示屏散热是否正常，有无过热现象，供电模块电压是否正常，有无电流声现象；</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检查解码器与综合安防平台通讯是否正常，有无掉线现象；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检查电解码器与显示屏的线路联接是否正常，有无松动现象；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定期清洁液晶拼接大屏的灰尘；</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检查显示屏是否在最佳状态并调整显示器参数并检查显示画面是否清晰，有无漏液、条纹干扰现象；</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检查LED灯管、模块、模组点亮是否正常，排线有无松动现象；电源供电电压是否在有效值，各接线端子有无松动现象；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控制卡与模组连接线是否有松动现象，与客户端系统通讯是否正常，安装是否牢靠；</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检查显示屏电源、高清信号线、控制电缆及各紧固件是否是有松动现象；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网络高清监控</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检查摄像机设机械联接处，线路中间处是否有破裂、接断现象；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检查前端至汇聚，汇聚至中心核心数据交换传输是否有数据丢包现象，网络RJ45是否有松动脱落及氧化现象；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检查视频存储服务器录像存储是否正常；存储硬盘是否损坏或出现坏道现象，并记录坏道的损坏情况；</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主辅跟踪监控系统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检查前端摄像机镜面是否脏污，摄像机各设定参数（焦距、光圈、OSD字符等）是否处于最佳状态，多目标跟踪处理器动态目标捕捉位置是否精准；</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检查处理器与视频监控平台传输是否正常，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检查枪机球机联动功能是否正常，是否有数据丢包现象，网络RJ45是否有松动脱落及氧化现象；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帆船票务排班叫号功放喇叭等</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检查系统设备的面板或指示灯的显示情况是否正常，针对故障设备进行本设备电源、音频信号输入/输出、控制信号输入/输出、接插件、同类设备替换等检查，找出系统故障的部位。</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检查航班前置服务器与信息化平台联网是否正常，信息化平台航班数据下发至航班服务器是否流畅，有无丢包现象；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应对设备供电系统进行检测，检测所有设备的电源线是否都已正确连接，以保证设备的供电系统稳定正常运行。</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应对设备进行检测，检查设备是否正常运行，功能是否正常，所有的信号源间的信号线是否正确连接。</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应对扬声器线路进行检测，通过历史记录对其外部回路进行分析，常规系使用检测工具对线路进行检测。</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检查显示屏显示是否正常，有无偏色、条纹干扰等现象；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检查前端喇叭设备固定是否完好，有无脱落现象；检查各喇叭音源输出是否正常，有无杂声，电流声等情况；检查前端喇叭连接线是否有松动现象。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清洁设备包含机柜、终端、功放、显示屏、数据交换机等灰尘。</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道闸（三锟闸5套、速通门6套）</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检查人脸识别终端、通道闸机是否沾污，定期抹除清理设备积尘；</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检查人脸识别终端联网状态是否良好，控制主板开关量输出信号，数据有无丢包、下发是否有延迟现象；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检查人脸识别终端触摸屏是否正常，外壳及屏体是否遭到损坏，支架及螺丝是否有松动迹象；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闸机内外除尘、清洁</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机芯、机械活动链接结构润滑保养，闸机偏移、翼闸开门偏移、摆臂矫正；</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紧固控制主板及接线端子；</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更换老化破损线缆。</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机房</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核验机房温湿度、通风性、密封性是否满足设备运行环境，如未则向业主提出改进方案</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更换变形或磨损较大的静电地板，防堵桥架洞口、紧固松动桥架盖。</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检查电线电缆是否磨损破皮。</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网络机柜</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更换/维修机柜故障锁、门，加固安装机柜不晃动。</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网关、交换机校验转发数据、性能、扇热是否正常，设备固定带宽是否满足实际运行带宽。</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核实机柜所有设备功率，更换相匹配的空气开关或有故障的空气开关；供电线缆是否完好及线径是否匹配输出功率，如未则更换相匹配线缆。加固开关接线紧固</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定期擦除机柜、设备灰尘。</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更换/维修故障设备箱锁、门；更换生锈严重的设备箱或固定件；裸露螺丝进行防锈处理；掉漆部分进行喷漆处理；防堵进水口；疏通通风口；</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更换有故障的空气开关；供电线缆是否完好。加固开关接线紧固</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定期擦除设备箱灰尘、设备灰尘。</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UPS不间断电源</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检查主机运行状态是否正常，有无报警现象，并查看主机输入及输出各项指标是否正常（电压、电流、频率），三相输出电流是否在平衡状态。</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检查电池各连接线是否接触是否良好，有无松动现象，各接点是否有过热现象；电池是否出现漏液现象，并对电池进行定期的充放电测试。</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检查各电源接头是否在松动、脱落现象；检查UPS配电系统线路，是否存在动物破坏、人为损坏现象；电源各接驳点温度是否有发热现象。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检查设备保护接地与设备缘接点是否良好；定期测试电气连接接地阻值；对防雷器工作状态进宪检查，并测度各项性能是否满足需求。</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检查UPS配电箱内各元器件是否有松动现象，供电电压是否正常，断路器机械性能及电流通断是否满足使用要求；检查智能电表、电流互感器各项参数据是否正常。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检查记录各相电压负载情况；查清各参数是否配置正确；断电进行UPS功能测试；</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UPS电池柜定期擦拭、除尘等卫生维护</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安检设备</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定期对安检门、X光机除尘保养</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定期检查安检门及X光机运行状况、设备内部线路，X-射线、风扇运行、传送装置等是否正常</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巡更系统</w:t>
            </w:r>
          </w:p>
        </w:tc>
        <w:tc>
          <w:tcPr>
            <w:tcW w:w="68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检查软件系统启动、运行是否正常；设备接入数据接入拷贝是否正常，系统软件各功能模块运行是否正常。</w:t>
            </w:r>
          </w:p>
        </w:tc>
        <w:tc>
          <w:tcPr>
            <w:tcW w:w="19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检查巡更棒外观是否有损坏现象、充电状态是否正常，各数据电源接口是否有损坏现象。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8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9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检查各巡更点是否损坏，有无损坏、脱落现象。</w:t>
            </w:r>
          </w:p>
        </w:tc>
        <w:tc>
          <w:tcPr>
            <w:tcW w:w="19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20" w:hRule="atLeast"/>
        </w:trPr>
        <w:tc>
          <w:tcPr>
            <w:tcW w:w="126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tabs>
                <w:tab w:val="left" w:pos="5448"/>
              </w:tabs>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ab/>
            </w:r>
            <w:r>
              <w:rPr>
                <w:rFonts w:hint="eastAsia" w:ascii="宋体" w:hAnsi="宋体" w:cs="宋体"/>
                <w:i w:val="0"/>
                <w:iCs w:val="0"/>
                <w:color w:val="auto"/>
                <w:kern w:val="0"/>
                <w:sz w:val="22"/>
                <w:szCs w:val="22"/>
                <w:u w:val="none"/>
                <w:lang w:val="en-US" w:eastAsia="zh-CN" w:bidi="ar"/>
              </w:rPr>
              <w:t>维护费</w:t>
            </w:r>
          </w:p>
        </w:tc>
        <w:tc>
          <w:tcPr>
            <w:tcW w:w="19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项</w:t>
            </w:r>
          </w:p>
        </w:tc>
      </w:tr>
    </w:tbl>
    <w:p>
      <w:pPr>
        <w:ind w:right="560"/>
        <w:jc w:val="right"/>
        <w:rPr>
          <w:rFonts w:ascii="仿宋" w:hAnsi="仿宋" w:eastAsia="仿宋"/>
          <w:bCs/>
          <w:color w:val="auto"/>
          <w:sz w:val="28"/>
          <w:szCs w:val="28"/>
          <w:highlight w:val="none"/>
        </w:rPr>
        <w:sectPr>
          <w:pgSz w:w="16838" w:h="11906" w:orient="landscape"/>
          <w:pgMar w:top="1588" w:right="1701" w:bottom="1588" w:left="1701" w:header="851" w:footer="1304" w:gutter="0"/>
          <w:pgNumType w:fmt="decimal"/>
          <w:cols w:space="720" w:num="1"/>
          <w:docGrid w:type="lines" w:linePitch="312" w:charSpace="0"/>
        </w:sectPr>
      </w:pPr>
    </w:p>
    <w:p>
      <w:pPr>
        <w:spacing w:before="156" w:beforeLines="50" w:line="360" w:lineRule="auto"/>
        <w:jc w:val="center"/>
        <w:rPr>
          <w:rFonts w:hint="eastAsia" w:ascii="宋体" w:hAnsi="宋体" w:eastAsia="宋体" w:cs="宋体"/>
          <w:b/>
          <w:color w:val="auto"/>
          <w:sz w:val="30"/>
          <w:szCs w:val="30"/>
        </w:rPr>
      </w:pPr>
      <w:bookmarkStart w:id="186" w:name="_Toc398504636"/>
      <w:bookmarkStart w:id="187" w:name="_Toc398284580"/>
      <w:r>
        <w:rPr>
          <w:rFonts w:hint="eastAsia" w:ascii="宋体" w:hAnsi="宋体" w:eastAsia="宋体" w:cs="宋体"/>
          <w:b/>
          <w:bCs/>
          <w:color w:val="auto"/>
          <w:kern w:val="0"/>
          <w:sz w:val="30"/>
          <w:szCs w:val="30"/>
        </w:rPr>
        <w:t>附件</w:t>
      </w:r>
      <w:r>
        <w:rPr>
          <w:rFonts w:hint="eastAsia" w:ascii="宋体" w:hAnsi="宋体" w:eastAsia="宋体" w:cs="宋体"/>
          <w:b/>
          <w:bCs/>
          <w:color w:val="auto"/>
          <w:kern w:val="0"/>
          <w:sz w:val="30"/>
          <w:szCs w:val="30"/>
          <w:lang w:val="en-US" w:eastAsia="zh-CN"/>
        </w:rPr>
        <w:t>三</w:t>
      </w:r>
      <w:r>
        <w:rPr>
          <w:rFonts w:hint="eastAsia" w:ascii="宋体" w:hAnsi="宋体" w:eastAsia="宋体" w:cs="宋体"/>
          <w:b/>
          <w:bCs/>
          <w:color w:val="auto"/>
          <w:kern w:val="0"/>
          <w:sz w:val="30"/>
          <w:szCs w:val="30"/>
        </w:rPr>
        <w:t>、</w:t>
      </w:r>
      <w:r>
        <w:rPr>
          <w:rFonts w:hint="eastAsia" w:ascii="宋体" w:hAnsi="宋体" w:eastAsia="宋体" w:cs="宋体"/>
          <w:b/>
          <w:color w:val="auto"/>
          <w:sz w:val="30"/>
          <w:szCs w:val="30"/>
        </w:rPr>
        <w:t>安全文明生产责任协议书</w:t>
      </w:r>
    </w:p>
    <w:p>
      <w:pPr>
        <w:spacing w:before="156" w:beforeLines="50" w:line="360" w:lineRule="auto"/>
        <w:rPr>
          <w:rFonts w:hint="eastAsia" w:eastAsia="Times New Roman" w:cs="Calibri"/>
          <w:color w:val="auto"/>
          <w:sz w:val="24"/>
          <w:szCs w:val="30"/>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color w:val="auto"/>
          <w:sz w:val="24"/>
          <w:szCs w:val="30"/>
        </w:rPr>
        <w:t xml:space="preserve">         </w:t>
      </w:r>
      <w:r>
        <w:rPr>
          <w:rFonts w:cs="Calibri"/>
          <w:color w:val="auto"/>
          <w:sz w:val="24"/>
          <w:szCs w:val="30"/>
        </w:rPr>
        <w:t xml:space="preserve">                                                                                                                              </w:t>
      </w:r>
    </w:p>
    <w:p>
      <w:pPr>
        <w:spacing w:before="156" w:beforeLines="50" w:line="360" w:lineRule="auto"/>
        <w:rPr>
          <w:rFonts w:ascii="宋体" w:hAnsi="宋体"/>
          <w:color w:val="auto"/>
          <w:sz w:val="28"/>
          <w:szCs w:val="28"/>
          <w:u w:val="words"/>
        </w:rPr>
      </w:pPr>
      <w:r>
        <w:rPr>
          <w:rFonts w:hint="eastAsia"/>
          <w:color w:val="auto"/>
          <w:sz w:val="24"/>
          <w:szCs w:val="30"/>
        </w:rPr>
        <w:t>乙方</w:t>
      </w:r>
      <w:r>
        <w:rPr>
          <w:rFonts w:cs="Calibri"/>
          <w:color w:val="auto"/>
          <w:sz w:val="24"/>
          <w:szCs w:val="30"/>
        </w:rPr>
        <w:t xml:space="preserve">: </w:t>
      </w:r>
    </w:p>
    <w:p>
      <w:pPr>
        <w:spacing w:before="156" w:beforeLines="50" w:line="360" w:lineRule="auto"/>
        <w:ind w:firstLine="480" w:firstLineChars="200"/>
        <w:rPr>
          <w:rFonts w:hint="eastAsia" w:ascii="宋体" w:hAnsi="宋体"/>
          <w:color w:val="auto"/>
          <w:sz w:val="24"/>
        </w:rPr>
      </w:pPr>
      <w:r>
        <w:rPr>
          <w:rFonts w:hint="eastAsia" w:ascii="宋体" w:hAnsi="宋体"/>
          <w:color w:val="auto"/>
          <w:sz w:val="24"/>
        </w:rPr>
        <w:t>为了加强安全生产管理，贯彻落实“安全第一，预防为主，综合治理”安全生产方针，保证职工在生产经营中的人身安全健康和财产安全，确保生产经营活动的顺利进行，根据《中华人民共和国安全生产法》和《安全生产管理规定》，经甲乙双方平等协商、意见一致，现双方自愿签订如下安全生产协议：</w:t>
      </w:r>
    </w:p>
    <w:p>
      <w:pPr>
        <w:spacing w:before="156" w:beforeLines="50" w:line="360" w:lineRule="auto"/>
        <w:rPr>
          <w:rFonts w:hint="eastAsia" w:ascii="宋体" w:hAnsi="宋体"/>
          <w:b/>
          <w:color w:val="auto"/>
          <w:sz w:val="24"/>
          <w:szCs w:val="24"/>
        </w:rPr>
      </w:pPr>
      <w:r>
        <w:rPr>
          <w:rFonts w:hint="eastAsia" w:ascii="宋体" w:hAnsi="宋体"/>
          <w:b/>
          <w:color w:val="auto"/>
          <w:sz w:val="24"/>
        </w:rPr>
        <w:t>第一条：甲方的安全责任、权利</w:t>
      </w:r>
    </w:p>
    <w:p>
      <w:pPr>
        <w:spacing w:before="156" w:beforeLines="50" w:line="360" w:lineRule="auto"/>
        <w:ind w:left="284"/>
        <w:rPr>
          <w:rFonts w:hint="eastAsia" w:ascii="宋体" w:hAnsi="宋体"/>
          <w:color w:val="auto"/>
          <w:sz w:val="24"/>
        </w:rPr>
      </w:pPr>
      <w:r>
        <w:rPr>
          <w:rFonts w:hint="eastAsia" w:ascii="宋体" w:hAnsi="宋体"/>
          <w:color w:val="auto"/>
          <w:sz w:val="24"/>
        </w:rPr>
        <w:t>（一）甲方为乙方派驻工程维修施工活动提供工程施工、维修所必需的施工工期、场所及必要的水、电接口；</w:t>
      </w:r>
    </w:p>
    <w:p>
      <w:pPr>
        <w:spacing w:before="156" w:beforeLines="50" w:line="360" w:lineRule="auto"/>
        <w:ind w:left="284"/>
        <w:rPr>
          <w:rFonts w:hint="eastAsia" w:ascii="宋体" w:hAnsi="宋体"/>
          <w:color w:val="auto"/>
          <w:sz w:val="24"/>
        </w:rPr>
      </w:pPr>
      <w:r>
        <w:rPr>
          <w:rFonts w:hint="eastAsia" w:ascii="宋体" w:hAnsi="宋体"/>
          <w:color w:val="auto"/>
          <w:sz w:val="24"/>
        </w:rPr>
        <w:t>（二）乙方必须严格遵守安全生产法律、法规、标准和安全生产规章及甲方的安全管理制度，熟练掌握安全防范措施和事故应急处理预案能力。</w:t>
      </w:r>
    </w:p>
    <w:p>
      <w:pPr>
        <w:spacing w:before="156" w:beforeLines="50" w:line="360" w:lineRule="auto"/>
        <w:ind w:left="284"/>
        <w:rPr>
          <w:rFonts w:hint="eastAsia" w:ascii="宋体" w:hAnsi="宋体"/>
          <w:color w:val="auto"/>
          <w:sz w:val="24"/>
        </w:rPr>
      </w:pPr>
      <w:r>
        <w:rPr>
          <w:rFonts w:hint="eastAsia" w:ascii="宋体" w:hAnsi="宋体"/>
          <w:color w:val="auto"/>
          <w:sz w:val="24"/>
        </w:rPr>
        <w:t>（三）甲方管理人员有权督促检查</w:t>
      </w:r>
      <w:r>
        <w:rPr>
          <w:rFonts w:hint="eastAsia" w:ascii="宋体" w:hAnsi="宋体"/>
          <w:color w:val="auto"/>
          <w:kern w:val="0"/>
          <w:sz w:val="24"/>
        </w:rPr>
        <w:t>各项安全管理工作，制止违规违章、违规作业，遇有危险紧急情况可令其停止作业；</w:t>
      </w:r>
    </w:p>
    <w:p>
      <w:pPr>
        <w:spacing w:before="156" w:beforeLines="50" w:line="360" w:lineRule="auto"/>
        <w:ind w:left="284"/>
        <w:rPr>
          <w:rFonts w:hint="eastAsia" w:ascii="宋体" w:hAnsi="宋体"/>
          <w:color w:val="auto"/>
          <w:sz w:val="24"/>
        </w:rPr>
      </w:pPr>
      <w:r>
        <w:rPr>
          <w:rFonts w:hint="eastAsia" w:ascii="宋体" w:hAnsi="宋体"/>
          <w:color w:val="auto"/>
          <w:kern w:val="0"/>
          <w:sz w:val="24"/>
        </w:rPr>
        <w:t>（四）甲方有权根据相关规定，对乙方人员在甲方场所内违章违纪、违章操作、消防安全及其他违反安全规定的检查；</w:t>
      </w:r>
    </w:p>
    <w:p>
      <w:pPr>
        <w:spacing w:before="156" w:beforeLines="50" w:line="360" w:lineRule="auto"/>
        <w:ind w:left="284"/>
        <w:rPr>
          <w:rFonts w:hint="eastAsia" w:ascii="宋体" w:hAnsi="宋体"/>
          <w:color w:val="auto"/>
          <w:sz w:val="24"/>
        </w:rPr>
      </w:pPr>
      <w:r>
        <w:rPr>
          <w:rFonts w:hint="eastAsia" w:ascii="宋体" w:hAnsi="宋体"/>
          <w:color w:val="auto"/>
          <w:kern w:val="0"/>
          <w:sz w:val="24"/>
        </w:rPr>
        <w:t>（五）甲方有权检查督促乙方在甲方场地内做好整理、整顿、清洁、清扫、素养的现场5S管理。</w:t>
      </w:r>
    </w:p>
    <w:p>
      <w:pPr>
        <w:spacing w:before="156" w:beforeLines="50" w:line="360" w:lineRule="auto"/>
        <w:rPr>
          <w:rFonts w:hint="eastAsia" w:ascii="宋体" w:hAnsi="宋体"/>
          <w:b/>
          <w:color w:val="auto"/>
          <w:sz w:val="24"/>
        </w:rPr>
      </w:pPr>
      <w:r>
        <w:rPr>
          <w:rFonts w:hint="eastAsia" w:ascii="宋体" w:hAnsi="宋体"/>
          <w:b/>
          <w:color w:val="auto"/>
          <w:sz w:val="24"/>
        </w:rPr>
        <w:t>第二条：乙方的责任、权利</w:t>
      </w:r>
    </w:p>
    <w:p>
      <w:pPr>
        <w:numPr>
          <w:ilvl w:val="0"/>
          <w:numId w:val="9"/>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乙方法定代表人是乙方第一安全责任人，必须做好岗前“三级”安全教育及相关特殊岗位的安全培训，全面负责派遣至甲方生产经营活动的安全管理工作，同时施工队必须配备一名安全管理人员负责施工现场的安全管理工作，并做好现场5S管理工作；乙方人员进入甲方场所,必须遵守甲方的各项规章制度,接受甲方的监督检查；乙方必须为派遣到甲方的作业人员配备符合国家安全标准的劳动防护用品，海上作业必须穿着救生衣，同时使用之工具也需要符合安全技术要求；疫情期间，乙方工作人员应配戴口罩，做好自身防疫措施。</w:t>
      </w:r>
    </w:p>
    <w:p>
      <w:pPr>
        <w:numPr>
          <w:ilvl w:val="0"/>
          <w:numId w:val="9"/>
        </w:numPr>
        <w:spacing w:before="156" w:beforeLines="50" w:line="360" w:lineRule="auto"/>
        <w:ind w:left="218" w:leftChars="104" w:firstLine="0"/>
        <w:jc w:val="left"/>
        <w:rPr>
          <w:rFonts w:hint="eastAsia" w:ascii="宋体" w:hAnsi="宋体"/>
          <w:color w:val="auto"/>
          <w:sz w:val="24"/>
        </w:rPr>
      </w:pPr>
      <w:r>
        <w:rPr>
          <w:rFonts w:hint="eastAsia" w:ascii="宋体" w:hAnsi="宋体"/>
          <w:color w:val="auto"/>
          <w:spacing w:val="20"/>
          <w:sz w:val="24"/>
        </w:rPr>
        <w:t>乙方负责为其员工购买相应该工伤社会保险，</w:t>
      </w:r>
      <w:r>
        <w:rPr>
          <w:rFonts w:hint="eastAsia" w:ascii="宋体" w:hAnsi="宋体"/>
          <w:color w:val="auto"/>
          <w:sz w:val="24"/>
        </w:rPr>
        <w:t>并根据需要为派遣现场工作的人员购买相应的人身意外伤害保险，在生产作业过程中如发生人身伤亡事故，由乙方承担责任。</w:t>
      </w:r>
    </w:p>
    <w:p>
      <w:pPr>
        <w:spacing w:before="156" w:beforeLines="50" w:line="360" w:lineRule="auto"/>
        <w:ind w:firstLine="399" w:firstLineChars="142"/>
        <w:rPr>
          <w:rFonts w:hint="eastAsia" w:ascii="宋体" w:hAnsi="宋体"/>
          <w:color w:val="auto"/>
          <w:spacing w:val="20"/>
          <w:sz w:val="24"/>
        </w:rPr>
      </w:pPr>
      <w:r>
        <w:rPr>
          <w:rFonts w:hint="eastAsia" w:ascii="宋体" w:hAnsi="宋体"/>
          <w:b/>
          <w:color w:val="auto"/>
          <w:spacing w:val="20"/>
          <w:sz w:val="24"/>
        </w:rPr>
        <w:t>第三条：乙方人员进入甲方场所必须做到</w:t>
      </w:r>
      <w:r>
        <w:rPr>
          <w:rFonts w:hint="eastAsia" w:ascii="宋体" w:hAnsi="宋体"/>
          <w:color w:val="auto"/>
          <w:spacing w:val="20"/>
          <w:sz w:val="24"/>
        </w:rPr>
        <w:t>：</w:t>
      </w:r>
    </w:p>
    <w:p>
      <w:pPr>
        <w:numPr>
          <w:ilvl w:val="0"/>
          <w:numId w:val="10"/>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特种作业人员必须持国家认可的有效证件上岗；现场内不得赤脚，不得穿拖鞋、凉鞋；</w:t>
      </w:r>
    </w:p>
    <w:p>
      <w:pPr>
        <w:numPr>
          <w:ilvl w:val="0"/>
          <w:numId w:val="10"/>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做好作业责任区的卫生,物料、器具按规定的位置摆放整齐，符合甲方现场5S要求；</w:t>
      </w:r>
    </w:p>
    <w:p>
      <w:pPr>
        <w:numPr>
          <w:ilvl w:val="0"/>
          <w:numId w:val="10"/>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班前、班中不得喝酒，严禁在吸烟区地点吸烟；未经甲方人员许可，不得擅自动用甲方的设施设备、工具等特别是消防设施；</w:t>
      </w:r>
    </w:p>
    <w:p>
      <w:pPr>
        <w:numPr>
          <w:ilvl w:val="0"/>
          <w:numId w:val="10"/>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施工人员禁止私自上下趸船、船艇等，如在泊位区域施工作业，需甲方业务对接人员带入施工区域，乙方人员不得私自进入泊位区域施工。</w:t>
      </w:r>
    </w:p>
    <w:p>
      <w:pPr>
        <w:numPr>
          <w:ilvl w:val="0"/>
          <w:numId w:val="10"/>
        </w:numPr>
        <w:spacing w:before="156" w:beforeLines="50" w:line="360" w:lineRule="auto"/>
        <w:ind w:left="218" w:leftChars="104" w:firstLine="0"/>
        <w:rPr>
          <w:rFonts w:hint="eastAsia" w:ascii="宋体" w:hAnsi="宋体"/>
          <w:color w:val="auto"/>
          <w:sz w:val="24"/>
        </w:rPr>
      </w:pPr>
      <w:r>
        <w:rPr>
          <w:rFonts w:hint="eastAsia" w:ascii="宋体" w:hAnsi="宋体"/>
          <w:color w:val="auto"/>
          <w:sz w:val="24"/>
        </w:rPr>
        <w:t>疫情期间，乙方入港人员需配合甲方根据厦门市防疫部门要求进行实时体温检测和人员信息登记工作，如出现突发性发热、身体不适等特殊情况应立即停止作业。</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第四条</w:t>
      </w:r>
      <w:r>
        <w:rPr>
          <w:rFonts w:hint="eastAsia" w:ascii="宋体" w:hAnsi="宋体"/>
          <w:color w:val="auto"/>
          <w:sz w:val="24"/>
        </w:rPr>
        <w:t>：乙方人员对各自所处的区域、作业环境、操作设施设备、工具用具等必须认真检查，发现安全隐患，立即停止工作，报送相关人员排除，一经作业，就表示该作业人员确认作业环境、操作设施设备、工具用具等符合安全要求和处于安全状态，乙方人员对作业中所发生的后果自行负责。</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第五条</w:t>
      </w:r>
      <w:r>
        <w:rPr>
          <w:rFonts w:hint="eastAsia" w:ascii="宋体" w:hAnsi="宋体"/>
          <w:color w:val="auto"/>
          <w:sz w:val="24"/>
        </w:rPr>
        <w:t>：属乙方自带的设备及器具必须符合安全技术要求规范，其设备、器具等安全措施由乙方自行负责。</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第六条：</w:t>
      </w:r>
      <w:r>
        <w:rPr>
          <w:rFonts w:hint="eastAsia" w:ascii="宋体" w:hAnsi="宋体"/>
          <w:color w:val="auto"/>
          <w:sz w:val="24"/>
        </w:rPr>
        <w:t>在甲方施工区域内，车辆发生交通事故，各方根据事故责任承担相应的损失。若由于乙方责任事故，甲方有权向乙方处相应的安全违约金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第七条</w:t>
      </w:r>
      <w:r>
        <w:rPr>
          <w:rFonts w:hint="eastAsia" w:ascii="宋体" w:hAnsi="宋体"/>
          <w:color w:val="auto"/>
          <w:sz w:val="24"/>
        </w:rPr>
        <w:t>：贯彻谁主管谁负责的原则，乙方人员在甲方场所内造成的伤亡、职业健康、火警、火灾、机械、交通等其它事故（包括由乙方责任造成甲方人员、他方人员伤亡和经济损失等），乙方负责事故上报、经济赔偿及善后处理，事故的责任、损失和善后处理的费用由乙方承担，甲方有协助紧急抢救伤员的义务。给甲方造成经济损失，甲方有权向乙方索赔，并处相应的安全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第八条</w:t>
      </w:r>
      <w:r>
        <w:rPr>
          <w:rFonts w:hint="eastAsia" w:ascii="宋体" w:hAnsi="宋体"/>
          <w:color w:val="auto"/>
          <w:sz w:val="24"/>
        </w:rPr>
        <w:t>：乙方违反甲方相关安全生产管理规定，给甲方造成经济损失，甲方有权向乙方索赔，并处安全违约金；违反甲方现场5S管理要求，甲方有权根据相关规定，对乙方处安全文明生产违约金。</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第九条</w:t>
      </w:r>
      <w:r>
        <w:rPr>
          <w:rFonts w:hint="eastAsia" w:ascii="宋体" w:hAnsi="宋体"/>
          <w:color w:val="auto"/>
          <w:sz w:val="24"/>
        </w:rPr>
        <w:t>：乙方确认已完全知悉甲方的《施工人员进厂培训资料》等相关规章制度，并负责其员工认真学习和遵守。</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第十条</w:t>
      </w:r>
      <w:r>
        <w:rPr>
          <w:rFonts w:hint="eastAsia" w:ascii="宋体" w:hAnsi="宋体"/>
          <w:color w:val="auto"/>
          <w:sz w:val="24"/>
        </w:rPr>
        <w:t>：乙方人员必须保守商业秘密，未经书面许可，不得以任何形式、方法损害甲方利益和名誉。</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第十一条：</w:t>
      </w:r>
      <w:r>
        <w:rPr>
          <w:rFonts w:hint="eastAsia" w:ascii="宋体" w:hAnsi="宋体"/>
          <w:color w:val="auto"/>
          <w:sz w:val="24"/>
        </w:rPr>
        <w:t>本协议未尽事宜双方应及时另予协商，若双方对本协议或附件有争议，应友好协商，若协商不成提交甲方所在地法院管辖。</w:t>
      </w:r>
    </w:p>
    <w:p>
      <w:pPr>
        <w:spacing w:before="156" w:beforeLines="50" w:line="360" w:lineRule="auto"/>
        <w:ind w:left="798" w:leftChars="86" w:hanging="617" w:hangingChars="256"/>
        <w:rPr>
          <w:rFonts w:hint="eastAsia" w:ascii="宋体" w:hAnsi="宋体"/>
          <w:color w:val="auto"/>
          <w:sz w:val="24"/>
        </w:rPr>
      </w:pPr>
      <w:r>
        <w:rPr>
          <w:rFonts w:hint="eastAsia" w:ascii="宋体" w:hAnsi="宋体"/>
          <w:b/>
          <w:color w:val="auto"/>
          <w:sz w:val="24"/>
        </w:rPr>
        <w:t>第十二条：</w:t>
      </w:r>
      <w:r>
        <w:rPr>
          <w:rFonts w:hint="eastAsia" w:ascii="宋体" w:hAnsi="宋体"/>
          <w:color w:val="auto"/>
          <w:sz w:val="24"/>
        </w:rPr>
        <w:t>本协议自盖章之日起生效。</w:t>
      </w:r>
    </w:p>
    <w:p>
      <w:pPr>
        <w:pStyle w:val="92"/>
        <w:spacing w:before="151" w:after="151"/>
        <w:ind w:left="420"/>
        <w:rPr>
          <w:rFonts w:hint="eastAsia"/>
          <w:color w:val="auto"/>
        </w:rPr>
      </w:pPr>
    </w:p>
    <w:p>
      <w:pPr>
        <w:spacing w:before="156" w:beforeLines="50" w:line="360" w:lineRule="auto"/>
        <w:ind w:left="5160" w:right="-477" w:rightChars="-227" w:hanging="5160" w:hangingChars="2150"/>
        <w:jc w:val="left"/>
        <w:rPr>
          <w:rFonts w:hint="eastAsia"/>
          <w:color w:val="auto"/>
          <w:sz w:val="24"/>
          <w:szCs w:val="30"/>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rFonts w:cs="Calibri"/>
          <w:color w:val="auto"/>
          <w:sz w:val="24"/>
          <w:szCs w:val="30"/>
        </w:rPr>
        <w:t xml:space="preserve">    </w:t>
      </w:r>
      <w:r>
        <w:rPr>
          <w:rFonts w:hint="eastAsia"/>
          <w:color w:val="auto"/>
          <w:sz w:val="24"/>
          <w:szCs w:val="30"/>
        </w:rPr>
        <w:t>乙方</w:t>
      </w:r>
      <w:r>
        <w:rPr>
          <w:rFonts w:cs="Calibri"/>
          <w:color w:val="auto"/>
          <w:sz w:val="24"/>
          <w:szCs w:val="30"/>
        </w:rPr>
        <w:t>:</w:t>
      </w:r>
      <w:r>
        <w:rPr>
          <w:color w:val="auto"/>
          <w:sz w:val="24"/>
          <w:szCs w:val="30"/>
        </w:rPr>
        <w:t xml:space="preserve">                                </w:t>
      </w:r>
    </w:p>
    <w:p>
      <w:pPr>
        <w:spacing w:before="156" w:beforeLines="50" w:line="360" w:lineRule="auto"/>
        <w:rPr>
          <w:rFonts w:ascii="宋体" w:hAnsi="宋体"/>
          <w:color w:val="auto"/>
          <w:sz w:val="24"/>
        </w:rPr>
      </w:pPr>
      <w:r>
        <w:rPr>
          <w:rFonts w:hint="eastAsia" w:ascii="宋体" w:hAnsi="宋体"/>
          <w:color w:val="auto"/>
          <w:sz w:val="24"/>
        </w:rPr>
        <w:t>甲方代表：                            乙方代表：</w:t>
      </w:r>
    </w:p>
    <w:p>
      <w:pPr>
        <w:spacing w:before="156" w:beforeLines="50" w:line="360" w:lineRule="auto"/>
        <w:rPr>
          <w:rFonts w:hint="eastAsia" w:ascii="宋体" w:hAnsi="宋体"/>
          <w:color w:val="auto"/>
          <w:sz w:val="24"/>
          <w:szCs w:val="24"/>
        </w:rPr>
      </w:pPr>
      <w:r>
        <w:rPr>
          <w:rFonts w:hint="eastAsia" w:ascii="宋体" w:hAnsi="宋体"/>
          <w:color w:val="auto"/>
          <w:sz w:val="24"/>
        </w:rPr>
        <w:t>联系电话                              联系电话:</w:t>
      </w:r>
    </w:p>
    <w:p>
      <w:pPr>
        <w:spacing w:before="156" w:beforeLines="50" w:line="360" w:lineRule="auto"/>
        <w:rPr>
          <w:rFonts w:hint="eastAsia" w:ascii="仿宋_GB2312" w:eastAsia="仿宋_GB2312"/>
          <w:color w:val="auto"/>
          <w:sz w:val="32"/>
          <w:szCs w:val="32"/>
        </w:rPr>
      </w:pPr>
      <w:r>
        <w:rPr>
          <w:rFonts w:hint="eastAsia" w:ascii="宋体" w:hAnsi="宋体"/>
          <w:color w:val="auto"/>
          <w:sz w:val="24"/>
        </w:rPr>
        <w:t>年   月   日                                  年   月    日</w:t>
      </w:r>
    </w:p>
    <w:p>
      <w:pPr>
        <w:rPr>
          <w:rFonts w:hint="eastAsia" w:ascii="仿宋_GB2312" w:hAnsi="Times New Roman"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仿宋_GB2312" w:eastAsia="仿宋_GB2312"/>
          <w:color w:val="auto"/>
          <w:sz w:val="32"/>
          <w:szCs w:val="32"/>
        </w:rPr>
      </w:pPr>
    </w:p>
    <w:p>
      <w:pPr>
        <w:rPr>
          <w:rFonts w:hint="eastAsia" w:ascii="Times New Roman"/>
          <w:color w:val="auto"/>
          <w:szCs w:val="24"/>
        </w:rPr>
      </w:pPr>
    </w:p>
    <w:p>
      <w:pPr>
        <w:adjustRightInd w:val="0"/>
        <w:snapToGrid w:val="0"/>
        <w:spacing w:before="156" w:beforeLines="50" w:line="360" w:lineRule="exact"/>
        <w:jc w:val="left"/>
        <w:rPr>
          <w:color w:val="auto"/>
        </w:rPr>
      </w:pPr>
      <w:r>
        <w:rPr>
          <w:color w:val="auto"/>
        </w:rPr>
        <w:t xml:space="preserve">                </w:t>
      </w:r>
    </w:p>
    <w:p>
      <w:pPr>
        <w:adjustRightInd w:val="0"/>
        <w:snapToGrid w:val="0"/>
        <w:spacing w:before="156" w:beforeLines="50" w:line="360" w:lineRule="exact"/>
        <w:jc w:val="center"/>
        <w:rPr>
          <w:rFonts w:hint="eastAsia" w:ascii="宋体" w:hAnsi="宋体" w:cs="宋体"/>
          <w:b/>
          <w:bCs/>
          <w:color w:val="auto"/>
          <w:kern w:val="0"/>
          <w:sz w:val="30"/>
          <w:szCs w:val="30"/>
        </w:rPr>
      </w:pPr>
    </w:p>
    <w:p>
      <w:pPr>
        <w:adjustRightInd w:val="0"/>
        <w:snapToGrid w:val="0"/>
        <w:spacing w:before="156" w:beforeLines="50" w:line="360" w:lineRule="exact"/>
        <w:jc w:val="center"/>
        <w:rPr>
          <w:rFonts w:hint="eastAsia" w:ascii="宋体" w:hAnsi="宋体" w:cs="宋体"/>
          <w:b/>
          <w:bCs/>
          <w:color w:val="auto"/>
          <w:kern w:val="0"/>
          <w:sz w:val="30"/>
          <w:szCs w:val="30"/>
        </w:rPr>
      </w:pPr>
    </w:p>
    <w:p>
      <w:pPr>
        <w:adjustRightInd w:val="0"/>
        <w:snapToGrid w:val="0"/>
        <w:spacing w:before="156" w:beforeLines="50" w:line="360" w:lineRule="exact"/>
        <w:jc w:val="center"/>
        <w:rPr>
          <w:rFonts w:ascii="宋体" w:hAnsi="宋体" w:cs="宋体"/>
          <w:b/>
          <w:bCs/>
          <w:color w:val="auto"/>
          <w:kern w:val="0"/>
          <w:sz w:val="30"/>
          <w:szCs w:val="30"/>
        </w:rPr>
      </w:pPr>
      <w:r>
        <w:rPr>
          <w:rFonts w:hint="eastAsia" w:ascii="宋体" w:hAnsi="宋体" w:cs="宋体"/>
          <w:b/>
          <w:bCs/>
          <w:color w:val="auto"/>
          <w:kern w:val="0"/>
          <w:sz w:val="30"/>
          <w:szCs w:val="30"/>
        </w:rPr>
        <w:t>附件</w:t>
      </w:r>
      <w:r>
        <w:rPr>
          <w:rFonts w:hint="eastAsia" w:ascii="宋体" w:hAnsi="宋体" w:cs="宋体"/>
          <w:b/>
          <w:bCs/>
          <w:color w:val="auto"/>
          <w:kern w:val="0"/>
          <w:sz w:val="30"/>
          <w:szCs w:val="30"/>
          <w:lang w:val="en-US" w:eastAsia="zh-CN"/>
        </w:rPr>
        <w:t>四</w:t>
      </w:r>
      <w:r>
        <w:rPr>
          <w:rFonts w:hint="eastAsia" w:ascii="宋体" w:hAnsi="宋体" w:cs="宋体"/>
          <w:b/>
          <w:bCs/>
          <w:color w:val="auto"/>
          <w:kern w:val="0"/>
          <w:sz w:val="30"/>
          <w:szCs w:val="30"/>
        </w:rPr>
        <w:t>：工程建设项目廉洁责任合同</w:t>
      </w:r>
    </w:p>
    <w:p>
      <w:pPr>
        <w:spacing w:before="156" w:beforeLines="50" w:line="360" w:lineRule="auto"/>
        <w:rPr>
          <w:rFonts w:hint="eastAsia" w:hAnsi="Times New Roman" w:eastAsia="Times New Roman" w:cs="Calibri"/>
          <w:color w:val="auto"/>
          <w:sz w:val="24"/>
          <w:szCs w:val="30"/>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color w:val="auto"/>
          <w:sz w:val="24"/>
          <w:szCs w:val="30"/>
        </w:rPr>
        <w:t xml:space="preserve">         </w:t>
      </w:r>
      <w:r>
        <w:rPr>
          <w:rFonts w:cs="Calibri"/>
          <w:color w:val="auto"/>
          <w:sz w:val="24"/>
          <w:szCs w:val="30"/>
        </w:rPr>
        <w:t xml:space="preserve">                                                                                                                              </w:t>
      </w:r>
    </w:p>
    <w:p>
      <w:pPr>
        <w:spacing w:before="156" w:beforeLines="50" w:line="360" w:lineRule="auto"/>
        <w:rPr>
          <w:rFonts w:ascii="宋体" w:hAnsi="宋体"/>
          <w:color w:val="auto"/>
          <w:sz w:val="28"/>
          <w:szCs w:val="28"/>
          <w:u w:val="words"/>
        </w:rPr>
      </w:pPr>
      <w:r>
        <w:rPr>
          <w:rFonts w:hint="eastAsia"/>
          <w:color w:val="auto"/>
          <w:sz w:val="24"/>
          <w:szCs w:val="30"/>
        </w:rPr>
        <w:t>乙方</w:t>
      </w:r>
      <w:r>
        <w:rPr>
          <w:rFonts w:cs="Calibri"/>
          <w:color w:val="auto"/>
          <w:sz w:val="24"/>
          <w:szCs w:val="30"/>
        </w:rPr>
        <w:t xml:space="preserve">: </w:t>
      </w:r>
    </w:p>
    <w:p>
      <w:pPr>
        <w:widowControl/>
        <w:spacing w:before="156" w:beforeLines="50" w:line="340" w:lineRule="exact"/>
        <w:ind w:firstLine="537" w:firstLineChars="224"/>
        <w:jc w:val="left"/>
        <w:rPr>
          <w:rFonts w:hint="eastAsia" w:ascii="宋体" w:hAnsi="宋体" w:cs="宋体"/>
          <w:color w:val="auto"/>
          <w:kern w:val="0"/>
          <w:sz w:val="24"/>
          <w:szCs w:val="24"/>
        </w:rPr>
      </w:pPr>
      <w:r>
        <w:rPr>
          <w:rFonts w:hint="eastAsia" w:ascii="宋体" w:hAnsi="宋体" w:cs="宋体"/>
          <w:color w:val="auto"/>
          <w:kern w:val="0"/>
          <w:sz w:val="24"/>
        </w:rPr>
        <w:t>为加强工程建设中的廉洁建设，规范工程建设项目承发包双方的各项活动，防止发生各种谋取不正当利益的违法违纪行为，保护国家、集体和当事人的合法权益，根据国家有关法律法规和廉政建设规定，特签订本廉洁责任合同。</w:t>
      </w:r>
    </w:p>
    <w:p>
      <w:pPr>
        <w:widowControl/>
        <w:spacing w:before="156" w:beforeLines="50" w:line="340" w:lineRule="exact"/>
        <w:ind w:firstLine="540" w:firstLineChars="224"/>
        <w:jc w:val="left"/>
        <w:rPr>
          <w:rFonts w:hint="eastAsia" w:ascii="宋体" w:hAnsi="宋体" w:cs="宋体"/>
          <w:b/>
          <w:color w:val="auto"/>
          <w:kern w:val="0"/>
          <w:sz w:val="24"/>
        </w:rPr>
      </w:pPr>
      <w:r>
        <w:rPr>
          <w:rFonts w:hint="eastAsia" w:ascii="宋体" w:hAnsi="宋体" w:cs="宋体"/>
          <w:b/>
          <w:color w:val="auto"/>
          <w:kern w:val="0"/>
          <w:sz w:val="24"/>
        </w:rPr>
        <w:t>第一条</w:t>
      </w:r>
      <w:r>
        <w:rPr>
          <w:rFonts w:hint="eastAsia" w:ascii="宋体" w:hAnsi="宋体"/>
          <w:b/>
          <w:color w:val="auto"/>
          <w:kern w:val="0"/>
          <w:sz w:val="24"/>
        </w:rPr>
        <w:t xml:space="preserve">  </w:t>
      </w:r>
      <w:r>
        <w:rPr>
          <w:rFonts w:hint="eastAsia" w:ascii="宋体" w:hAnsi="宋体" w:cs="宋体"/>
          <w:b/>
          <w:color w:val="auto"/>
          <w:kern w:val="0"/>
          <w:sz w:val="24"/>
        </w:rPr>
        <w:t>甲乙双方的责任</w:t>
      </w:r>
    </w:p>
    <w:p>
      <w:pPr>
        <w:widowControl/>
        <w:spacing w:before="156" w:beforeLines="50" w:line="340" w:lineRule="exact"/>
        <w:ind w:firstLine="480" w:firstLineChars="200"/>
        <w:jc w:val="left"/>
        <w:rPr>
          <w:rFonts w:hint="eastAsia" w:ascii="宋体" w:hAnsi="宋体" w:cs="宋体"/>
          <w:color w:val="auto"/>
          <w:kern w:val="0"/>
          <w:sz w:val="24"/>
        </w:rPr>
      </w:pPr>
      <w:r>
        <w:rPr>
          <w:rFonts w:hint="eastAsia" w:ascii="宋体" w:hAnsi="宋体" w:cs="宋体"/>
          <w:color w:val="auto"/>
          <w:kern w:val="0"/>
          <w:sz w:val="24"/>
        </w:rPr>
        <w:t>（一）应严格遵守国家关于市场准入、项目招标投标、工程建设、施工安装和市场活动等有关法律、法规、相关政策，以及廉政建设的各项规定。</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（二）严格执行建设工程项目承发包协议文件，自觉按协议办事。</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（三）业务活动必须坚持公开、公平、公正、诚信、透明的原则（除法律法规另有规定者外），不得为获取不正当的利益，损害国家、集体和对方利益，不得违反工程建设管理、施工安装的规章制度。</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（四）发现对方在业务活动中有违规、违纪、违法行为的，应及时提醒对方，情节严重的，应向其上级主管部门或纪检监察、司法等有关机关举报。</w:t>
      </w:r>
    </w:p>
    <w:p>
      <w:pPr>
        <w:widowControl/>
        <w:spacing w:before="156" w:beforeLines="50" w:line="340" w:lineRule="exact"/>
        <w:ind w:firstLine="540" w:firstLineChars="224"/>
        <w:jc w:val="left"/>
        <w:rPr>
          <w:rFonts w:hint="eastAsia" w:ascii="宋体" w:hAnsi="宋体" w:cs="宋体"/>
          <w:b/>
          <w:color w:val="auto"/>
          <w:kern w:val="0"/>
          <w:sz w:val="24"/>
        </w:rPr>
      </w:pPr>
      <w:r>
        <w:rPr>
          <w:rFonts w:hint="eastAsia" w:ascii="宋体" w:hAnsi="宋体" w:cs="宋体"/>
          <w:b/>
          <w:color w:val="auto"/>
          <w:kern w:val="0"/>
          <w:sz w:val="24"/>
        </w:rPr>
        <w:t>第二条</w:t>
      </w:r>
      <w:r>
        <w:rPr>
          <w:rFonts w:hint="eastAsia" w:ascii="宋体" w:hAnsi="宋体"/>
          <w:b/>
          <w:color w:val="auto"/>
          <w:kern w:val="0"/>
          <w:sz w:val="24"/>
        </w:rPr>
        <w:t xml:space="preserve">  </w:t>
      </w:r>
      <w:r>
        <w:rPr>
          <w:rFonts w:hint="eastAsia" w:ascii="宋体" w:hAnsi="宋体" w:cs="宋体"/>
          <w:b/>
          <w:color w:val="auto"/>
          <w:kern w:val="0"/>
          <w:sz w:val="24"/>
        </w:rPr>
        <w:t>甲方的责任</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甲方的领导和从事该建设工程项目的工作人员，在工程建设的事前、事中、事后应遵守以下规定：</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（一）不准向乙方和相关单位索要或接受回扣、礼金、有价证券、贵重物品和好处费、感谢费等。</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（二）不准在乙方和相关单位报销任何应由甲方或个人支付的费用。</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（三）不准要求、暗示或接受乙方和相关单位为个人装修住房、婚丧嫁娶、配偶子女的工作安排以及出国（境）、旅游等提供不当利益。</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（四）不准参加有可能影响公正执行公务的乙方和相关单位的宴请和健身、娱乐等活动。</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五）不准向乙方介绍或为配偶、子女、亲属参与同甲方项目工程施工协议有关的设备、材料、工程分包、劳务等经济活动。不得以任何理由向乙方和相关单位推荐分包单位和要求乙方购买项目工程施工协议规定以外的材料、设备等。</w:t>
      </w:r>
    </w:p>
    <w:p>
      <w:pPr>
        <w:widowControl/>
        <w:spacing w:before="156" w:beforeLines="50" w:line="340" w:lineRule="exact"/>
        <w:ind w:firstLine="540" w:firstLineChars="224"/>
        <w:jc w:val="left"/>
        <w:rPr>
          <w:rFonts w:hint="eastAsia" w:ascii="宋体" w:hAnsi="宋体" w:cs="宋体"/>
          <w:b/>
          <w:color w:val="auto"/>
          <w:kern w:val="0"/>
          <w:sz w:val="24"/>
        </w:rPr>
      </w:pPr>
      <w:r>
        <w:rPr>
          <w:rFonts w:hint="eastAsia" w:ascii="宋体" w:hAnsi="宋体" w:cs="宋体"/>
          <w:b/>
          <w:color w:val="auto"/>
          <w:kern w:val="0"/>
          <w:sz w:val="24"/>
        </w:rPr>
        <w:t>第三条</w:t>
      </w:r>
      <w:r>
        <w:rPr>
          <w:rFonts w:hint="eastAsia" w:ascii="宋体" w:hAnsi="宋体"/>
          <w:b/>
          <w:color w:val="auto"/>
          <w:kern w:val="0"/>
          <w:sz w:val="24"/>
        </w:rPr>
        <w:t xml:space="preserve">  </w:t>
      </w:r>
      <w:r>
        <w:rPr>
          <w:rFonts w:hint="eastAsia" w:ascii="宋体" w:hAnsi="宋体" w:cs="宋体"/>
          <w:b/>
          <w:color w:val="auto"/>
          <w:kern w:val="0"/>
          <w:sz w:val="24"/>
        </w:rPr>
        <w:t>乙方的责任</w:t>
      </w:r>
    </w:p>
    <w:p>
      <w:pPr>
        <w:widowControl/>
        <w:spacing w:before="156" w:beforeLines="50" w:line="340" w:lineRule="exact"/>
        <w:ind w:firstLine="537" w:firstLineChars="224"/>
        <w:jc w:val="left"/>
        <w:rPr>
          <w:rFonts w:hint="eastAsia" w:ascii="宋体" w:hAnsi="宋体" w:cs="宋体"/>
          <w:b/>
          <w:color w:val="auto"/>
          <w:kern w:val="0"/>
          <w:sz w:val="24"/>
        </w:rPr>
      </w:pPr>
      <w:r>
        <w:rPr>
          <w:rFonts w:hint="eastAsia" w:ascii="宋体" w:hAnsi="宋体" w:cs="宋体"/>
          <w:color w:val="auto"/>
          <w:kern w:val="0"/>
          <w:sz w:val="24"/>
        </w:rPr>
        <w:t>应与甲方保持正常的业务交往，按照有关法律法规和程序开展业务工作，严格执行工程建设的有关方针、政策，尤其是有关建筑施工安装的强制性标准和规范，并遵守以下规定：</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（一）不准以任何理由向甲方及其工作人员索要、接受或赠送礼金、有价证券、贵重物品和回扣、好处费、感谢费等。</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（二）不准以任何理由为甲方和相关单位报销应由对方或个人支付的费用。</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（三）不准接受或暗示为甲方、相关单位或个人装修住房、婚丧嫁娶、配偶子女的工作安排以及出国（境）、旅游等提供不当利益。</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（四）不准以任何理由为甲方、相关单位或个人组织有可能影响公正执行公务的宴请、健身、娱乐等活动。</w:t>
      </w:r>
    </w:p>
    <w:p>
      <w:pPr>
        <w:widowControl/>
        <w:spacing w:before="156" w:beforeLines="50" w:line="340" w:lineRule="exact"/>
        <w:ind w:firstLine="540" w:firstLineChars="224"/>
        <w:jc w:val="left"/>
        <w:rPr>
          <w:rFonts w:hint="eastAsia" w:ascii="宋体" w:hAnsi="宋体" w:cs="宋体"/>
          <w:b/>
          <w:color w:val="auto"/>
          <w:kern w:val="0"/>
          <w:sz w:val="24"/>
        </w:rPr>
      </w:pPr>
      <w:r>
        <w:rPr>
          <w:rFonts w:hint="eastAsia" w:ascii="宋体" w:hAnsi="宋体" w:cs="宋体"/>
          <w:b/>
          <w:color w:val="auto"/>
          <w:kern w:val="0"/>
          <w:sz w:val="24"/>
        </w:rPr>
        <w:t>第四条</w:t>
      </w:r>
      <w:r>
        <w:rPr>
          <w:rFonts w:hint="eastAsia" w:ascii="宋体" w:hAnsi="宋体"/>
          <w:b/>
          <w:color w:val="auto"/>
          <w:kern w:val="0"/>
          <w:sz w:val="24"/>
        </w:rPr>
        <w:t xml:space="preserve">  </w:t>
      </w:r>
      <w:r>
        <w:rPr>
          <w:rFonts w:hint="eastAsia" w:ascii="宋体" w:hAnsi="宋体" w:cs="宋体"/>
          <w:b/>
          <w:color w:val="auto"/>
          <w:kern w:val="0"/>
          <w:sz w:val="24"/>
        </w:rPr>
        <w:t>违约责任</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（一）甲方工作人员有违反本协议第一、第二条责任行为的，按照管理权限，依据有关法律法规和规定给予党纪、政纪处分或组织处理；涉嫌犯罪的，移交司法机关追究刑事责任。</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（二）乙方工作人员有违反本协议第一条、第三条责任行为的，按照管理权限，依据有关法律法规和规定给予党纪、政纪处分或组织处理；涉嫌犯罪的，移交司法机关追究刑事责任。</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（三）乙方工作人员有违反本协议第一条、第三条责任行为的，应扣罚乙方的廉洁保证金：</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1、工程竣工结算前，每发现一次，扣罚乙方10万元，直接从应付工程款中扣除；</w:t>
      </w:r>
    </w:p>
    <w:p>
      <w:pPr>
        <w:widowControl/>
        <w:spacing w:before="156" w:beforeLines="50" w:line="340" w:lineRule="exact"/>
        <w:ind w:firstLine="537" w:firstLineChars="224"/>
        <w:jc w:val="left"/>
        <w:rPr>
          <w:rFonts w:hint="eastAsia" w:ascii="宋体" w:hAnsi="宋体" w:cs="宋体"/>
          <w:color w:val="auto"/>
          <w:kern w:val="0"/>
          <w:sz w:val="24"/>
        </w:rPr>
      </w:pPr>
      <w:r>
        <w:rPr>
          <w:rFonts w:hint="eastAsia" w:ascii="宋体" w:hAnsi="宋体" w:cs="宋体"/>
          <w:color w:val="auto"/>
          <w:kern w:val="0"/>
          <w:sz w:val="24"/>
        </w:rPr>
        <w:t>2、工程竣工结算后，预留结算总价款的1%作为廉洁保证金。工程竣工验收后1年内，未发现乙方在工程施工合同履行期间有违反本协议第一条、第三条责任行为的，则廉洁保证金于1年期满时全额返还并按银行同期存款基准利率计算利息；发现乙方在工程施工合同履行期间有违反本协议第一条、第三条责任行为的，则廉洁保证金不予返回。</w:t>
      </w:r>
    </w:p>
    <w:p>
      <w:pPr>
        <w:widowControl/>
        <w:spacing w:before="156" w:beforeLines="50" w:line="340" w:lineRule="exact"/>
        <w:ind w:firstLine="540" w:firstLineChars="224"/>
        <w:jc w:val="left"/>
        <w:rPr>
          <w:rFonts w:hint="eastAsia" w:ascii="宋体" w:hAnsi="宋体" w:cs="宋体"/>
          <w:color w:val="auto"/>
          <w:kern w:val="0"/>
          <w:sz w:val="24"/>
        </w:rPr>
      </w:pPr>
      <w:r>
        <w:rPr>
          <w:rFonts w:hint="eastAsia" w:ascii="宋体" w:hAnsi="宋体" w:cs="宋体"/>
          <w:b/>
          <w:color w:val="auto"/>
          <w:kern w:val="0"/>
          <w:sz w:val="24"/>
        </w:rPr>
        <w:t>第五条</w:t>
      </w:r>
      <w:r>
        <w:rPr>
          <w:rFonts w:hint="eastAsia" w:ascii="宋体" w:hAnsi="宋体"/>
          <w:color w:val="auto"/>
          <w:kern w:val="0"/>
          <w:sz w:val="24"/>
        </w:rPr>
        <w:t xml:space="preserve">  </w:t>
      </w:r>
      <w:r>
        <w:rPr>
          <w:rFonts w:hint="eastAsia" w:ascii="宋体" w:hAnsi="宋体" w:cs="宋体"/>
          <w:color w:val="auto"/>
          <w:kern w:val="0"/>
          <w:sz w:val="24"/>
        </w:rPr>
        <w:t>本协议作为</w:t>
      </w:r>
      <w:r>
        <w:rPr>
          <w:rFonts w:hint="eastAsia" w:ascii="宋体" w:hAnsi="宋体" w:cs="宋体"/>
          <w:color w:val="auto"/>
          <w:kern w:val="0"/>
          <w:sz w:val="24"/>
          <w:u w:val="single"/>
          <w:lang w:eastAsia="zh-CN"/>
        </w:rPr>
        <w:t>2023年度码头智能化设施维养外包</w:t>
      </w:r>
      <w:r>
        <w:rPr>
          <w:rFonts w:hint="eastAsia" w:ascii="宋体" w:hAnsi="宋体" w:cs="宋体"/>
          <w:color w:val="auto"/>
          <w:kern w:val="0"/>
          <w:sz w:val="24"/>
        </w:rPr>
        <w:t>施工合同的附件，与</w:t>
      </w:r>
      <w:r>
        <w:rPr>
          <w:rFonts w:hint="eastAsia" w:ascii="宋体" w:hAnsi="宋体" w:cs="宋体"/>
          <w:color w:val="auto"/>
          <w:kern w:val="0"/>
          <w:sz w:val="24"/>
          <w:u w:val="single"/>
          <w:lang w:eastAsia="zh-CN"/>
        </w:rPr>
        <w:t>2023年度码头智能化设施维养外包</w:t>
      </w:r>
      <w:r>
        <w:rPr>
          <w:rFonts w:hint="eastAsia" w:ascii="宋体" w:hAnsi="宋体" w:cs="宋体"/>
          <w:color w:val="auto"/>
          <w:kern w:val="0"/>
          <w:sz w:val="24"/>
        </w:rPr>
        <w:t>工程施工合同具有同等法律效力。</w:t>
      </w:r>
    </w:p>
    <w:p>
      <w:pPr>
        <w:widowControl/>
        <w:spacing w:before="156" w:beforeLines="50" w:line="340" w:lineRule="exact"/>
        <w:ind w:firstLine="540" w:firstLineChars="224"/>
        <w:jc w:val="left"/>
        <w:rPr>
          <w:rFonts w:hint="eastAsia" w:ascii="宋体" w:hAnsi="宋体" w:cs="宋体"/>
          <w:color w:val="auto"/>
          <w:kern w:val="0"/>
          <w:sz w:val="24"/>
        </w:rPr>
      </w:pPr>
      <w:r>
        <w:rPr>
          <w:rFonts w:hint="eastAsia" w:ascii="宋体" w:hAnsi="宋体" w:cs="宋体"/>
          <w:b/>
          <w:color w:val="auto"/>
          <w:kern w:val="0"/>
          <w:sz w:val="24"/>
        </w:rPr>
        <w:t>第六条</w:t>
      </w:r>
      <w:r>
        <w:rPr>
          <w:rFonts w:hint="eastAsia" w:ascii="宋体" w:hAnsi="宋体"/>
          <w:color w:val="auto"/>
          <w:kern w:val="0"/>
          <w:sz w:val="24"/>
        </w:rPr>
        <w:t xml:space="preserve">  </w:t>
      </w:r>
      <w:r>
        <w:rPr>
          <w:rFonts w:hint="eastAsia" w:ascii="宋体" w:hAnsi="宋体" w:cs="宋体"/>
          <w:color w:val="auto"/>
          <w:kern w:val="0"/>
          <w:sz w:val="24"/>
        </w:rPr>
        <w:t>本协议的有效期为双方盖章之日起至该工程项目竣工验收合格后2年。</w:t>
      </w:r>
    </w:p>
    <w:p>
      <w:pPr>
        <w:widowControl/>
        <w:spacing w:before="156" w:beforeLines="50" w:line="340" w:lineRule="exact"/>
        <w:ind w:firstLine="540" w:firstLineChars="224"/>
        <w:jc w:val="left"/>
        <w:rPr>
          <w:rFonts w:hint="eastAsia" w:ascii="宋体" w:hAnsi="宋体" w:cs="宋体"/>
          <w:color w:val="auto"/>
          <w:kern w:val="0"/>
          <w:sz w:val="24"/>
        </w:rPr>
      </w:pPr>
      <w:r>
        <w:rPr>
          <w:rFonts w:hint="eastAsia" w:ascii="宋体" w:hAnsi="宋体" w:cs="宋体"/>
          <w:b/>
          <w:color w:val="auto"/>
          <w:kern w:val="0"/>
          <w:sz w:val="24"/>
        </w:rPr>
        <w:t>第七条</w:t>
      </w:r>
      <w:r>
        <w:rPr>
          <w:rFonts w:hint="eastAsia" w:ascii="宋体" w:hAnsi="宋体"/>
          <w:color w:val="auto"/>
          <w:kern w:val="0"/>
          <w:sz w:val="24"/>
        </w:rPr>
        <w:t xml:space="preserve">  </w:t>
      </w:r>
      <w:r>
        <w:rPr>
          <w:rFonts w:hint="eastAsia" w:ascii="宋体" w:hAnsi="宋体" w:cs="宋体"/>
          <w:color w:val="auto"/>
          <w:kern w:val="0"/>
          <w:sz w:val="24"/>
        </w:rPr>
        <w:t>本协议一式拾份，甲乙双方各执五份。自双方盖章后生效。</w:t>
      </w:r>
    </w:p>
    <w:p>
      <w:pPr>
        <w:snapToGrid w:val="0"/>
        <w:spacing w:line="360" w:lineRule="auto"/>
        <w:rPr>
          <w:rFonts w:hint="eastAsia" w:ascii="Times New Roman" w:hAnsi="Times New Roman"/>
          <w:color w:val="auto"/>
          <w:sz w:val="24"/>
          <w:szCs w:val="30"/>
        </w:rPr>
      </w:pPr>
    </w:p>
    <w:p>
      <w:pPr>
        <w:snapToGrid w:val="0"/>
        <w:spacing w:line="360" w:lineRule="auto"/>
        <w:rPr>
          <w:color w:val="auto"/>
          <w:sz w:val="24"/>
          <w:szCs w:val="24"/>
          <w:u w:val="single"/>
        </w:rPr>
      </w:pPr>
      <w:r>
        <w:rPr>
          <w:rFonts w:hint="eastAsia"/>
          <w:color w:val="auto"/>
          <w:sz w:val="24"/>
          <w:szCs w:val="30"/>
        </w:rPr>
        <w:t>甲方</w:t>
      </w:r>
      <w:r>
        <w:rPr>
          <w:rFonts w:cs="Calibri"/>
          <w:color w:val="auto"/>
          <w:sz w:val="24"/>
          <w:szCs w:val="30"/>
        </w:rPr>
        <w:t xml:space="preserve">: </w:t>
      </w:r>
      <w:r>
        <w:rPr>
          <w:rFonts w:hint="eastAsia"/>
          <w:color w:val="auto"/>
          <w:sz w:val="24"/>
          <w:szCs w:val="30"/>
        </w:rPr>
        <w:t>厦门五缘游艇文化发展有限公司</w:t>
      </w:r>
      <w:r>
        <w:rPr>
          <w:rFonts w:cs="Calibri"/>
          <w:color w:val="auto"/>
          <w:sz w:val="24"/>
          <w:szCs w:val="30"/>
        </w:rPr>
        <w:t xml:space="preserve">    </w:t>
      </w:r>
      <w:r>
        <w:rPr>
          <w:rFonts w:hint="eastAsia"/>
          <w:color w:val="auto"/>
          <w:sz w:val="24"/>
          <w:szCs w:val="30"/>
        </w:rPr>
        <w:t>乙方</w:t>
      </w:r>
      <w:r>
        <w:rPr>
          <w:rFonts w:cs="Calibri"/>
          <w:color w:val="auto"/>
          <w:sz w:val="24"/>
          <w:szCs w:val="30"/>
        </w:rPr>
        <w:t>:</w:t>
      </w:r>
      <w:r>
        <w:rPr>
          <w:color w:val="auto"/>
          <w:sz w:val="24"/>
          <w:szCs w:val="30"/>
        </w:rPr>
        <w:t xml:space="preserve">  </w:t>
      </w:r>
      <w:r>
        <w:rPr>
          <w:color w:val="auto"/>
          <w:sz w:val="24"/>
        </w:rPr>
        <w:t xml:space="preserve">            </w:t>
      </w:r>
      <w:r>
        <w:rPr>
          <w:color w:val="auto"/>
          <w:sz w:val="24"/>
          <w:u w:val="single"/>
        </w:rPr>
        <w:t xml:space="preserve">     </w:t>
      </w:r>
      <w:r>
        <w:rPr>
          <w:color w:val="auto"/>
          <w:sz w:val="24"/>
        </w:rPr>
        <w:t xml:space="preserve">                            </w:t>
      </w:r>
    </w:p>
    <w:p>
      <w:pPr>
        <w:snapToGrid w:val="0"/>
        <w:spacing w:line="360" w:lineRule="auto"/>
        <w:rPr>
          <w:color w:val="auto"/>
          <w:sz w:val="24"/>
        </w:rPr>
      </w:pPr>
      <w:r>
        <w:rPr>
          <w:rFonts w:hint="eastAsia"/>
          <w:color w:val="auto"/>
          <w:sz w:val="24"/>
        </w:rPr>
        <w:t>法定代表人</w:t>
      </w:r>
      <w:r>
        <w:rPr>
          <w:color w:val="auto"/>
          <w:sz w:val="24"/>
        </w:rPr>
        <w:t xml:space="preserve"> </w:t>
      </w:r>
      <w:r>
        <w:rPr>
          <w:rFonts w:hint="eastAsia"/>
          <w:color w:val="auto"/>
          <w:sz w:val="24"/>
        </w:rPr>
        <w:t>：</w:t>
      </w:r>
      <w:r>
        <w:rPr>
          <w:color w:val="auto"/>
          <w:sz w:val="24"/>
        </w:rPr>
        <w:t xml:space="preserve">                        </w:t>
      </w:r>
      <w:r>
        <w:rPr>
          <w:rFonts w:hint="eastAsia"/>
          <w:color w:val="auto"/>
          <w:sz w:val="24"/>
        </w:rPr>
        <w:t>法定代表人：</w:t>
      </w:r>
    </w:p>
    <w:p>
      <w:pPr>
        <w:snapToGrid w:val="0"/>
        <w:spacing w:line="360" w:lineRule="auto"/>
        <w:rPr>
          <w:color w:val="auto"/>
          <w:sz w:val="24"/>
          <w:u w:val="single"/>
        </w:rPr>
      </w:pPr>
      <w:r>
        <w:rPr>
          <w:rFonts w:hint="eastAsia"/>
          <w:color w:val="auto"/>
          <w:sz w:val="24"/>
        </w:rPr>
        <w:t>经办人：</w:t>
      </w:r>
      <w:r>
        <w:rPr>
          <w:color w:val="auto"/>
          <w:sz w:val="24"/>
        </w:rPr>
        <w:t xml:space="preserve">                              </w:t>
      </w:r>
      <w:r>
        <w:rPr>
          <w:rFonts w:hint="eastAsia"/>
          <w:color w:val="auto"/>
          <w:sz w:val="24"/>
        </w:rPr>
        <w:t>经办人：</w:t>
      </w:r>
      <w:r>
        <w:rPr>
          <w:color w:val="auto"/>
          <w:sz w:val="24"/>
        </w:rPr>
        <w:t xml:space="preserve">                        </w:t>
      </w:r>
    </w:p>
    <w:p>
      <w:pPr>
        <w:snapToGrid w:val="0"/>
        <w:spacing w:line="340" w:lineRule="exact"/>
        <w:jc w:val="center"/>
        <w:rPr>
          <w:rFonts w:hint="eastAsia"/>
          <w:color w:val="auto"/>
          <w:sz w:val="24"/>
          <w:u w:val="single"/>
        </w:rPr>
      </w:pPr>
      <w:r>
        <w:rPr>
          <w:rFonts w:hint="eastAsia"/>
          <w:color w:val="auto"/>
          <w:sz w:val="24"/>
          <w:u w:val="single"/>
        </w:rPr>
        <w:t>日期：</w:t>
      </w:r>
      <w:r>
        <w:rPr>
          <w:color w:val="auto"/>
          <w:sz w:val="24"/>
          <w:u w:val="single"/>
        </w:rPr>
        <w:t xml:space="preserve">  </w:t>
      </w:r>
      <w:r>
        <w:rPr>
          <w:rFonts w:hint="eastAsia"/>
          <w:color w:val="auto"/>
          <w:sz w:val="24"/>
          <w:u w:val="single"/>
        </w:rPr>
        <w:t>年</w:t>
      </w:r>
      <w:r>
        <w:rPr>
          <w:color w:val="auto"/>
          <w:sz w:val="24"/>
          <w:u w:val="single"/>
        </w:rPr>
        <w:t xml:space="preserve">    </w:t>
      </w:r>
      <w:r>
        <w:rPr>
          <w:rFonts w:hint="eastAsia"/>
          <w:color w:val="auto"/>
          <w:sz w:val="24"/>
          <w:u w:val="single"/>
        </w:rPr>
        <w:t>月</w:t>
      </w:r>
      <w:r>
        <w:rPr>
          <w:color w:val="auto"/>
          <w:sz w:val="24"/>
          <w:u w:val="single"/>
        </w:rPr>
        <w:t xml:space="preserve">    </w:t>
      </w:r>
      <w:r>
        <w:rPr>
          <w:rFonts w:hint="eastAsia"/>
          <w:color w:val="auto"/>
          <w:sz w:val="24"/>
          <w:u w:val="single"/>
        </w:rPr>
        <w:t>日</w:t>
      </w:r>
    </w:p>
    <w:p>
      <w:pPr>
        <w:numPr>
          <w:ilvl w:val="255"/>
          <w:numId w:val="0"/>
        </w:numPr>
        <w:ind w:left="568"/>
        <w:jc w:val="left"/>
        <w:rPr>
          <w:color w:val="auto"/>
        </w:rPr>
      </w:pPr>
    </w:p>
    <w:p>
      <w:pPr>
        <w:rPr>
          <w:rFonts w:hint="eastAsia" w:ascii="宋体" w:hAnsi="宋体" w:eastAsia="宋体"/>
          <w:color w:val="auto"/>
        </w:rPr>
      </w:pPr>
      <w:r>
        <w:rPr>
          <w:rFonts w:hint="eastAsia" w:ascii="宋体" w:hAnsi="宋体" w:eastAsia="宋体"/>
          <w:color w:val="auto"/>
        </w:rPr>
        <w:br w:type="page"/>
      </w:r>
    </w:p>
    <w:p>
      <w:pPr>
        <w:pStyle w:val="3"/>
        <w:pageBreakBefore/>
        <w:spacing w:before="240" w:after="240" w:line="360" w:lineRule="auto"/>
        <w:jc w:val="center"/>
        <w:rPr>
          <w:rFonts w:ascii="宋体" w:hAnsi="宋体" w:eastAsia="宋体"/>
          <w:color w:val="auto"/>
        </w:rPr>
      </w:pPr>
      <w:bookmarkStart w:id="188" w:name="_Toc26698"/>
      <w:r>
        <w:rPr>
          <w:rFonts w:hint="eastAsia" w:ascii="宋体" w:hAnsi="宋体" w:eastAsia="宋体"/>
          <w:color w:val="auto"/>
        </w:rPr>
        <w:t>第五章  投标文件格式</w:t>
      </w:r>
      <w:bookmarkEnd w:id="186"/>
      <w:bookmarkEnd w:id="187"/>
      <w:bookmarkEnd w:id="188"/>
    </w:p>
    <w:p>
      <w:pPr>
        <w:jc w:val="center"/>
        <w:rPr>
          <w:rFonts w:ascii="宋体" w:hAnsi="宋体"/>
          <w:b/>
          <w:color w:val="auto"/>
        </w:rPr>
      </w:pPr>
      <w:r>
        <w:rPr>
          <w:rFonts w:hint="eastAsia" w:ascii="宋体" w:hAnsi="宋体"/>
          <w:b/>
          <w:color w:val="auto"/>
        </w:rPr>
        <w:t>（本章格式文件可供参考，投标人可根据项目实际需求进行编制）</w:t>
      </w:r>
    </w:p>
    <w:p>
      <w:pPr>
        <w:pStyle w:val="92"/>
        <w:rPr>
          <w:rFonts w:ascii="宋体" w:hAnsi="宋体" w:eastAsia="宋体"/>
          <w:color w:val="auto"/>
        </w:rPr>
      </w:pPr>
    </w:p>
    <w:p>
      <w:pPr>
        <w:pStyle w:val="92"/>
        <w:jc w:val="center"/>
        <w:rPr>
          <w:rFonts w:ascii="宋体" w:hAnsi="宋体" w:eastAsia="宋体"/>
          <w:color w:val="auto"/>
          <w:sz w:val="32"/>
          <w:szCs w:val="32"/>
        </w:rPr>
      </w:pPr>
      <w:r>
        <w:rPr>
          <w:rFonts w:hint="eastAsia" w:ascii="宋体" w:hAnsi="宋体" w:eastAsia="宋体"/>
          <w:color w:val="auto"/>
          <w:sz w:val="32"/>
          <w:szCs w:val="32"/>
        </w:rPr>
        <w:t>（封面）</w:t>
      </w:r>
    </w:p>
    <w:p>
      <w:pPr>
        <w:jc w:val="center"/>
        <w:rPr>
          <w:rFonts w:ascii="宋体" w:hAnsi="宋体"/>
          <w:b/>
          <w:color w:val="auto"/>
          <w:sz w:val="72"/>
        </w:rPr>
      </w:pPr>
      <w:r>
        <w:rPr>
          <w:rFonts w:hint="eastAsia" w:ascii="宋体" w:hAnsi="宋体"/>
          <w:b/>
          <w:color w:val="auto"/>
          <w:sz w:val="72"/>
        </w:rPr>
        <w:t>采购项目</w:t>
      </w:r>
    </w:p>
    <w:p>
      <w:pPr>
        <w:jc w:val="center"/>
        <w:rPr>
          <w:rFonts w:ascii="宋体" w:hAnsi="宋体"/>
          <w:b/>
          <w:color w:val="auto"/>
          <w:sz w:val="72"/>
        </w:rPr>
      </w:pPr>
      <w:r>
        <w:rPr>
          <w:rFonts w:hint="eastAsia" w:ascii="宋体" w:hAnsi="宋体"/>
          <w:b/>
          <w:color w:val="auto"/>
          <w:sz w:val="72"/>
        </w:rPr>
        <w:t>投  标  文  件</w:t>
      </w:r>
    </w:p>
    <w:p>
      <w:pPr>
        <w:jc w:val="center"/>
        <w:rPr>
          <w:rFonts w:ascii="宋体" w:hAnsi="宋体"/>
          <w:b/>
          <w:color w:val="auto"/>
          <w:sz w:val="36"/>
        </w:rPr>
      </w:pPr>
    </w:p>
    <w:p>
      <w:pPr>
        <w:jc w:val="center"/>
        <w:rPr>
          <w:rFonts w:ascii="宋体" w:hAnsi="宋体"/>
          <w:b/>
          <w:color w:val="auto"/>
          <w:sz w:val="36"/>
        </w:rPr>
      </w:pPr>
    </w:p>
    <w:p>
      <w:pPr>
        <w:jc w:val="center"/>
        <w:rPr>
          <w:rFonts w:ascii="宋体" w:hAnsi="宋体"/>
          <w:b/>
          <w:color w:val="auto"/>
          <w:sz w:val="36"/>
        </w:rPr>
      </w:pPr>
    </w:p>
    <w:p>
      <w:pPr>
        <w:ind w:firstLine="1084" w:firstLineChars="300"/>
        <w:rPr>
          <w:rFonts w:ascii="宋体" w:hAnsi="宋体"/>
          <w:b/>
          <w:color w:val="auto"/>
          <w:sz w:val="36"/>
        </w:rPr>
      </w:pPr>
      <w:r>
        <w:rPr>
          <w:rFonts w:hint="eastAsia" w:ascii="宋体" w:hAnsi="宋体"/>
          <w:b/>
          <w:color w:val="auto"/>
          <w:sz w:val="36"/>
        </w:rPr>
        <w:t>项 目 名 称：</w:t>
      </w:r>
    </w:p>
    <w:p>
      <w:pPr>
        <w:ind w:firstLine="1084" w:firstLineChars="300"/>
        <w:rPr>
          <w:rFonts w:ascii="宋体" w:hAnsi="宋体"/>
          <w:b/>
          <w:color w:val="auto"/>
          <w:sz w:val="36"/>
          <w:u w:val="single"/>
        </w:rPr>
      </w:pPr>
      <w:r>
        <w:rPr>
          <w:rFonts w:hint="eastAsia" w:ascii="宋体" w:hAnsi="宋体"/>
          <w:b/>
          <w:color w:val="auto"/>
          <w:sz w:val="36"/>
        </w:rPr>
        <w:t>招 标 编 号：</w:t>
      </w: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rPr>
      </w:pPr>
    </w:p>
    <w:p>
      <w:pPr>
        <w:rPr>
          <w:rFonts w:ascii="宋体" w:hAnsi="宋体"/>
          <w:b/>
          <w:color w:val="auto"/>
          <w:sz w:val="36"/>
          <w:u w:val="single"/>
        </w:rPr>
      </w:pPr>
      <w:r>
        <w:rPr>
          <w:rFonts w:hint="eastAsia" w:ascii="宋体" w:hAnsi="宋体"/>
          <w:b/>
          <w:color w:val="auto"/>
          <w:sz w:val="36"/>
        </w:rPr>
        <w:t xml:space="preserve">       投标人名称 ：</w:t>
      </w:r>
    </w:p>
    <w:p>
      <w:pPr>
        <w:rPr>
          <w:rFonts w:ascii="宋体" w:hAnsi="宋体"/>
          <w:b/>
          <w:color w:val="auto"/>
          <w:sz w:val="36"/>
        </w:rPr>
      </w:pPr>
      <w:r>
        <w:rPr>
          <w:rFonts w:hint="eastAsia" w:ascii="宋体" w:hAnsi="宋体"/>
          <w:b/>
          <w:color w:val="auto"/>
          <w:sz w:val="36"/>
        </w:rPr>
        <w:t xml:space="preserve">       日      期 ：</w:t>
      </w:r>
    </w:p>
    <w:p>
      <w:pPr>
        <w:pStyle w:val="108"/>
        <w:jc w:val="left"/>
        <w:rPr>
          <w:rFonts w:hAnsi="宋体"/>
          <w:b/>
          <w:color w:val="auto"/>
          <w:sz w:val="24"/>
        </w:rPr>
      </w:pPr>
    </w:p>
    <w:p>
      <w:pPr>
        <w:pStyle w:val="108"/>
        <w:jc w:val="left"/>
        <w:rPr>
          <w:rFonts w:hAnsi="宋体"/>
          <w:b/>
          <w:color w:val="auto"/>
          <w:sz w:val="24"/>
        </w:rPr>
      </w:pPr>
    </w:p>
    <w:p>
      <w:pPr>
        <w:pStyle w:val="108"/>
        <w:jc w:val="left"/>
        <w:rPr>
          <w:rFonts w:hAnsi="宋体"/>
          <w:b/>
          <w:color w:val="auto"/>
          <w:sz w:val="24"/>
        </w:rPr>
      </w:pPr>
    </w:p>
    <w:p>
      <w:pPr>
        <w:pStyle w:val="10"/>
        <w:snapToGrid w:val="0"/>
        <w:spacing w:line="420" w:lineRule="atLeast"/>
        <w:ind w:firstLine="660" w:firstLineChars="275"/>
        <w:rPr>
          <w:rFonts w:ascii="宋体" w:hAnsi="宋体"/>
          <w:color w:val="auto"/>
          <w:sz w:val="24"/>
          <w:lang w:eastAsia="zh-CN"/>
        </w:rPr>
      </w:pPr>
    </w:p>
    <w:p>
      <w:pPr>
        <w:pStyle w:val="10"/>
        <w:pageBreakBefore/>
        <w:snapToGrid w:val="0"/>
        <w:spacing w:line="420" w:lineRule="atLeast"/>
        <w:ind w:left="0"/>
        <w:jc w:val="center"/>
        <w:rPr>
          <w:rFonts w:ascii="宋体" w:hAnsi="宋体"/>
          <w:b/>
          <w:bCs/>
          <w:color w:val="auto"/>
          <w:sz w:val="32"/>
          <w:lang w:eastAsia="zh-CN"/>
        </w:rPr>
      </w:pPr>
      <w:r>
        <w:rPr>
          <w:rFonts w:hint="eastAsia" w:ascii="宋体" w:hAnsi="宋体"/>
          <w:b/>
          <w:bCs/>
          <w:color w:val="auto"/>
          <w:sz w:val="32"/>
          <w:lang w:eastAsia="zh-CN"/>
        </w:rPr>
        <w:t>目    录</w:t>
      </w:r>
    </w:p>
    <w:p>
      <w:pPr>
        <w:spacing w:line="440" w:lineRule="exact"/>
        <w:rPr>
          <w:rFonts w:ascii="宋体" w:hAnsi="宋体"/>
          <w:color w:val="auto"/>
          <w:sz w:val="24"/>
        </w:rPr>
      </w:pPr>
    </w:p>
    <w:p>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425" w:leftChars="0" w:hanging="425" w:firstLineChars="0"/>
        <w:textAlignment w:val="auto"/>
        <w:rPr>
          <w:rFonts w:hint="eastAsia" w:ascii="宋体" w:hAnsi="宋体" w:eastAsia="宋体" w:cs="宋体"/>
          <w:color w:val="auto"/>
          <w:sz w:val="24"/>
          <w:szCs w:val="24"/>
          <w:highlight w:val="none"/>
        </w:rPr>
      </w:pPr>
      <w:bookmarkStart w:id="189" w:name="_Toc186344305"/>
      <w:r>
        <w:rPr>
          <w:rFonts w:hint="eastAsia" w:ascii="宋体" w:hAnsi="宋体" w:eastAsia="宋体" w:cs="宋体"/>
          <w:color w:val="auto"/>
          <w:sz w:val="24"/>
          <w:szCs w:val="24"/>
          <w:highlight w:val="none"/>
        </w:rPr>
        <w:t>投标书</w:t>
      </w:r>
    </w:p>
    <w:p>
      <w:pPr>
        <w:keepNext w:val="0"/>
        <w:keepLines w:val="0"/>
        <w:pageBreakBefore w:val="0"/>
        <w:widowControl w:val="0"/>
        <w:numPr>
          <w:ilvl w:val="0"/>
          <w:numId w:val="11"/>
        </w:numPr>
        <w:kinsoku/>
        <w:wordWrap/>
        <w:overflowPunct/>
        <w:topLinePunct w:val="0"/>
        <w:autoSpaceDE/>
        <w:autoSpaceDN/>
        <w:bidi w:val="0"/>
        <w:adjustRightInd/>
        <w:snapToGrid/>
        <w:spacing w:line="240" w:lineRule="auto"/>
        <w:ind w:left="425" w:leftChars="0" w:hanging="425"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开标一览表</w:t>
      </w:r>
    </w:p>
    <w:p>
      <w:pPr>
        <w:pStyle w:val="40"/>
        <w:numPr>
          <w:ilvl w:val="0"/>
          <w:numId w:val="11"/>
        </w:numPr>
        <w:spacing w:line="240" w:lineRule="auto"/>
        <w:ind w:left="425" w:leftChars="0" w:hanging="425" w:firstLineChars="0"/>
        <w:rPr>
          <w:rFonts w:hint="eastAsia"/>
          <w:color w:val="auto"/>
          <w:sz w:val="24"/>
          <w:szCs w:val="24"/>
        </w:rPr>
      </w:pPr>
      <w:r>
        <w:rPr>
          <w:rFonts w:hint="eastAsia" w:ascii="宋体" w:hAnsi="宋体" w:eastAsia="宋体" w:cs="宋体"/>
          <w:color w:val="auto"/>
          <w:sz w:val="24"/>
          <w:szCs w:val="24"/>
          <w:highlight w:val="none"/>
        </w:rPr>
        <w:t>投标分项报价表</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 xml:space="preserve">维护保养方案 </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服务人员情况</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lang w:val="en-US" w:eastAsia="zh-CN"/>
        </w:rPr>
        <w:t>服务设备情况</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承诺函</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业绩项目信息</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 xml:space="preserve">技术规格和商务偏离表 </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投标人的资格证明文件</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投标人提交的其它资料</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招标代理服务费及付款方式承诺书</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廉洁承诺书</w:t>
      </w:r>
    </w:p>
    <w:p>
      <w:pPr>
        <w:pStyle w:val="40"/>
        <w:numPr>
          <w:ilvl w:val="0"/>
          <w:numId w:val="11"/>
        </w:numPr>
        <w:spacing w:line="240" w:lineRule="auto"/>
        <w:ind w:left="425" w:leftChars="0" w:hanging="425" w:firstLineChars="0"/>
        <w:rPr>
          <w:rFonts w:hint="eastAsia"/>
          <w:color w:val="auto"/>
          <w:sz w:val="24"/>
          <w:szCs w:val="24"/>
        </w:rPr>
      </w:pPr>
      <w:r>
        <w:rPr>
          <w:rFonts w:hint="eastAsia"/>
          <w:color w:val="auto"/>
          <w:sz w:val="24"/>
          <w:szCs w:val="24"/>
        </w:rPr>
        <w:t>保证金缴交信息表</w:t>
      </w:r>
    </w:p>
    <w:p>
      <w:pPr>
        <w:spacing w:line="440" w:lineRule="exact"/>
        <w:ind w:left="840"/>
        <w:rPr>
          <w:rFonts w:hint="default" w:ascii="宋体" w:hAnsi="宋体" w:eastAsia="宋体"/>
          <w:color w:val="auto"/>
          <w:sz w:val="24"/>
          <w:lang w:val="en-US" w:eastAsia="zh-CN"/>
        </w:rPr>
      </w:pPr>
    </w:p>
    <w:p>
      <w:pPr>
        <w:spacing w:beforeLines="50" w:afterLines="50"/>
        <w:jc w:val="center"/>
        <w:rPr>
          <w:rFonts w:ascii="宋体" w:hAnsi="宋体"/>
          <w:color w:val="auto"/>
          <w:sz w:val="24"/>
        </w:rPr>
      </w:pPr>
      <w:r>
        <w:rPr>
          <w:rFonts w:ascii="宋体" w:hAnsi="宋体"/>
          <w:color w:val="auto"/>
          <w:sz w:val="24"/>
        </w:rPr>
        <w:br w:type="page"/>
      </w:r>
      <w:r>
        <w:rPr>
          <w:rFonts w:hint="eastAsia" w:ascii="宋体" w:hAnsi="宋体"/>
          <w:b/>
          <w:bCs/>
          <w:color w:val="auto"/>
          <w:sz w:val="30"/>
          <w:szCs w:val="32"/>
          <w:lang w:val="en-US" w:eastAsia="zh-CN"/>
        </w:rPr>
        <w:t>1</w:t>
      </w:r>
      <w:r>
        <w:rPr>
          <w:rFonts w:hint="eastAsia" w:ascii="宋体" w:hAnsi="宋体"/>
          <w:color w:val="auto"/>
          <w:sz w:val="24"/>
          <w:lang w:val="en-US" w:eastAsia="zh-CN"/>
        </w:rPr>
        <w:t>.</w:t>
      </w:r>
      <w:r>
        <w:rPr>
          <w:rFonts w:hint="eastAsia" w:ascii="宋体" w:hAnsi="宋体"/>
          <w:b/>
          <w:bCs/>
          <w:color w:val="auto"/>
          <w:sz w:val="30"/>
          <w:szCs w:val="32"/>
        </w:rPr>
        <w:t>投 标 书</w:t>
      </w:r>
      <w:bookmarkEnd w:id="189"/>
    </w:p>
    <w:p>
      <w:pPr>
        <w:spacing w:line="360" w:lineRule="auto"/>
        <w:rPr>
          <w:rFonts w:ascii="宋体" w:hAnsi="宋体"/>
          <w:color w:val="auto"/>
          <w:sz w:val="24"/>
          <w:szCs w:val="24"/>
        </w:rPr>
      </w:pPr>
      <w:r>
        <w:rPr>
          <w:rFonts w:hint="eastAsia" w:ascii="宋体" w:hAnsi="宋体"/>
          <w:color w:val="auto"/>
          <w:sz w:val="24"/>
          <w:szCs w:val="24"/>
        </w:rPr>
        <w:t>致：</w:t>
      </w:r>
      <w:r>
        <w:rPr>
          <w:rFonts w:hint="eastAsia" w:ascii="宋体" w:hAnsi="宋体"/>
          <w:color w:val="auto"/>
          <w:sz w:val="24"/>
          <w:szCs w:val="24"/>
          <w:u w:val="single"/>
        </w:rPr>
        <w:t xml:space="preserve">  </w:t>
      </w:r>
      <w:r>
        <w:rPr>
          <w:rFonts w:hint="eastAsia" w:ascii="宋体" w:hAnsi="宋体" w:cs="宋体"/>
          <w:color w:val="auto"/>
          <w:sz w:val="24"/>
          <w:u w:val="single"/>
        </w:rPr>
        <w:t>厦门路桥百城管理咨询有限公司</w:t>
      </w:r>
      <w:r>
        <w:rPr>
          <w:rFonts w:hint="eastAsia" w:ascii="宋体" w:hAnsi="宋体"/>
          <w:color w:val="auto"/>
          <w:sz w:val="24"/>
          <w:szCs w:val="24"/>
          <w:u w:val="single"/>
        </w:rPr>
        <w:t xml:space="preserve">      </w:t>
      </w:r>
    </w:p>
    <w:p>
      <w:pPr>
        <w:spacing w:line="360" w:lineRule="auto"/>
        <w:ind w:leftChars="100"/>
        <w:rPr>
          <w:rFonts w:ascii="宋体" w:hAnsi="宋体"/>
          <w:color w:val="auto"/>
          <w:sz w:val="24"/>
          <w:szCs w:val="24"/>
        </w:rPr>
      </w:pPr>
      <w:r>
        <w:rPr>
          <w:rFonts w:hint="eastAsia" w:ascii="宋体" w:hAnsi="宋体"/>
          <w:color w:val="auto"/>
          <w:sz w:val="24"/>
          <w:szCs w:val="24"/>
        </w:rPr>
        <w:t xml:space="preserve">    根据贵方为</w:t>
      </w:r>
      <w:r>
        <w:rPr>
          <w:rFonts w:hint="eastAsia" w:ascii="宋体" w:hAnsi="宋体"/>
          <w:color w:val="auto"/>
          <w:sz w:val="24"/>
          <w:szCs w:val="24"/>
          <w:u w:val="single"/>
          <w:lang w:val="en-US" w:eastAsia="zh-CN"/>
        </w:rPr>
        <w:t xml:space="preserve"> （项目名称） </w:t>
      </w:r>
      <w:r>
        <w:rPr>
          <w:rFonts w:hint="eastAsia" w:ascii="宋体" w:hAnsi="宋体"/>
          <w:color w:val="auto"/>
          <w:sz w:val="24"/>
          <w:szCs w:val="24"/>
        </w:rPr>
        <w:t>的投标邀请（招标编号</w:t>
      </w:r>
      <w:r>
        <w:rPr>
          <w:rFonts w:hint="eastAsia" w:ascii="宋体" w:hAnsi="宋体"/>
          <w:color w:val="auto"/>
          <w:sz w:val="24"/>
          <w:szCs w:val="24"/>
          <w:lang w:eastAsia="zh-CN"/>
        </w:rPr>
        <w:t>：</w:t>
      </w:r>
      <w:r>
        <w:rPr>
          <w:rFonts w:hint="eastAsia" w:ascii="宋体" w:hAnsi="宋体"/>
          <w:color w:val="auto"/>
          <w:sz w:val="24"/>
          <w:szCs w:val="24"/>
          <w:u w:val="single"/>
          <w:lang w:val="en-US" w:eastAsia="zh-CN"/>
        </w:rPr>
        <w:t xml:space="preserve">       </w:t>
      </w:r>
      <w:r>
        <w:rPr>
          <w:rFonts w:hint="eastAsia" w:ascii="宋体" w:hAnsi="宋体"/>
          <w:color w:val="auto"/>
          <w:sz w:val="24"/>
          <w:szCs w:val="24"/>
        </w:rPr>
        <w:t>） ，本签字代表（全名、职务）正式授权并代表投标人（投标人名称、地址）提交下述文件：</w:t>
      </w:r>
    </w:p>
    <w:p>
      <w:pPr>
        <w:keepNext w:val="0"/>
        <w:keepLines w:val="0"/>
        <w:widowControl w:val="0"/>
        <w:numPr>
          <w:ilvl w:val="0"/>
          <w:numId w:val="12"/>
        </w:numPr>
        <w:suppressLineNumbers w:val="0"/>
        <w:autoSpaceDE w:val="0"/>
        <w:autoSpaceDN/>
        <w:spacing w:before="0" w:beforeAutospacing="0" w:after="0" w:afterAutospacing="0"/>
        <w:ind w:left="425" w:leftChars="0" w:right="0" w:hanging="425" w:firstLineChars="0"/>
        <w:jc w:val="both"/>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投标书</w:t>
      </w:r>
    </w:p>
    <w:p>
      <w:pPr>
        <w:keepNext w:val="0"/>
        <w:keepLines w:val="0"/>
        <w:widowControl w:val="0"/>
        <w:numPr>
          <w:ilvl w:val="0"/>
          <w:numId w:val="12"/>
        </w:numPr>
        <w:suppressLineNumbers w:val="0"/>
        <w:autoSpaceDE w:val="0"/>
        <w:autoSpaceDN/>
        <w:spacing w:before="0" w:beforeAutospacing="0" w:after="0" w:afterAutospacing="0"/>
        <w:ind w:left="425" w:leftChars="0" w:right="0" w:hanging="425" w:firstLineChars="0"/>
        <w:jc w:val="both"/>
        <w:rPr>
          <w:rFonts w:hint="eastAsia" w:ascii="宋体" w:hAnsi="宋体" w:eastAsia="宋体" w:cs="宋体"/>
          <w:color w:val="auto"/>
          <w:kern w:val="2"/>
          <w:sz w:val="24"/>
          <w:szCs w:val="24"/>
        </w:rPr>
      </w:pPr>
      <w:r>
        <w:rPr>
          <w:rFonts w:hint="eastAsia" w:ascii="宋体" w:hAnsi="宋体" w:eastAsia="宋体" w:cs="宋体"/>
          <w:color w:val="auto"/>
          <w:kern w:val="2"/>
          <w:sz w:val="24"/>
          <w:szCs w:val="24"/>
          <w:lang w:val="en-US" w:eastAsia="zh-CN" w:bidi="ar"/>
        </w:rPr>
        <w:t>开标一览表</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投标分项报价表</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维护保养方案</w:t>
      </w:r>
      <w:r>
        <w:rPr>
          <w:rFonts w:hint="eastAsia" w:ascii="宋体" w:hAnsi="Times New Roman" w:eastAsia="宋体" w:cs="Times New Roman"/>
          <w:color w:val="auto"/>
          <w:kern w:val="2"/>
          <w:sz w:val="24"/>
          <w:szCs w:val="24"/>
          <w:lang w:val="en-US" w:eastAsia="zh-CN" w:bidi="ar"/>
        </w:rPr>
        <w:t xml:space="preserve"> </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服务人员情况</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服务设备情况</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承诺函</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业绩项目信息</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技术规格和商务偏离表</w:t>
      </w:r>
      <w:r>
        <w:rPr>
          <w:rFonts w:hint="eastAsia" w:ascii="宋体" w:hAnsi="Times New Roman" w:eastAsia="宋体" w:cs="Times New Roman"/>
          <w:color w:val="auto"/>
          <w:kern w:val="2"/>
          <w:sz w:val="24"/>
          <w:szCs w:val="24"/>
          <w:lang w:val="en-US" w:eastAsia="zh-CN" w:bidi="ar"/>
        </w:rPr>
        <w:t xml:space="preserve"> </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投标人的资格证明文件</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投标人提交的其它资料</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招标代理服务费及付款方式承诺书</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廉洁承诺书</w:t>
      </w:r>
    </w:p>
    <w:p>
      <w:pPr>
        <w:pStyle w:val="38"/>
        <w:keepNext w:val="0"/>
        <w:keepLines w:val="0"/>
        <w:widowControl w:val="0"/>
        <w:numPr>
          <w:ilvl w:val="0"/>
          <w:numId w:val="12"/>
        </w:numPr>
        <w:suppressLineNumbers w:val="0"/>
        <w:spacing w:before="0" w:beforeAutospacing="1" w:after="0" w:afterAutospacing="1"/>
        <w:ind w:left="425" w:leftChars="0" w:right="0" w:hanging="425" w:firstLineChars="0"/>
        <w:jc w:val="both"/>
        <w:rPr>
          <w:rFonts w:hint="eastAsia" w:ascii="宋体" w:hAnsi="Times New Roman" w:eastAsia="宋体" w:cs="Times New Roman"/>
          <w:color w:val="auto"/>
          <w:kern w:val="2"/>
          <w:sz w:val="24"/>
          <w:szCs w:val="24"/>
        </w:rPr>
      </w:pPr>
      <w:r>
        <w:rPr>
          <w:rFonts w:hint="eastAsia" w:ascii="宋体" w:hAnsi="宋体" w:eastAsia="宋体" w:cs="宋体"/>
          <w:color w:val="auto"/>
          <w:kern w:val="2"/>
          <w:sz w:val="24"/>
          <w:szCs w:val="24"/>
          <w:lang w:val="en-US" w:eastAsia="zh-CN" w:bidi="ar"/>
        </w:rPr>
        <w:t>保证金缴交信息表</w:t>
      </w:r>
    </w:p>
    <w:p>
      <w:pPr>
        <w:pStyle w:val="40"/>
        <w:widowControl/>
        <w:numPr>
          <w:ilvl w:val="0"/>
          <w:numId w:val="0"/>
        </w:numPr>
        <w:spacing w:before="0" w:beforeAutospacing="1" w:after="0" w:afterAutospacing="1"/>
        <w:ind w:right="0" w:rightChars="0"/>
        <w:rPr>
          <w:rFonts w:ascii="宋体" w:hAnsi="宋体" w:cs="宋体"/>
          <w:color w:val="auto"/>
          <w:sz w:val="24"/>
          <w:szCs w:val="24"/>
        </w:rPr>
      </w:pPr>
      <w:r>
        <w:rPr>
          <w:rFonts w:hint="eastAsia" w:ascii="宋体" w:hAnsi="宋体" w:cs="宋体"/>
          <w:color w:val="auto"/>
          <w:sz w:val="24"/>
          <w:szCs w:val="24"/>
          <w:lang w:val="en-US" w:eastAsia="zh-CN"/>
        </w:rPr>
        <w:t>1</w:t>
      </w:r>
      <w:r>
        <w:rPr>
          <w:rFonts w:hint="eastAsia" w:hAnsi="宋体" w:cs="宋体"/>
          <w:color w:val="auto"/>
          <w:sz w:val="24"/>
          <w:szCs w:val="24"/>
          <w:lang w:val="en-US" w:eastAsia="zh-CN"/>
        </w:rPr>
        <w:t>5</w:t>
      </w:r>
      <w:r>
        <w:rPr>
          <w:rFonts w:hint="eastAsia" w:ascii="宋体" w:hAnsi="宋体" w:cs="宋体"/>
          <w:color w:val="auto"/>
          <w:sz w:val="24"/>
          <w:szCs w:val="24"/>
          <w:lang w:val="en-US" w:eastAsia="zh-CN"/>
        </w:rPr>
        <w:t>.</w:t>
      </w:r>
      <w:r>
        <w:rPr>
          <w:rFonts w:hint="eastAsia" w:ascii="宋体" w:hAnsi="宋体" w:cs="宋体"/>
          <w:color w:val="auto"/>
          <w:sz w:val="24"/>
          <w:szCs w:val="24"/>
        </w:rPr>
        <w:t>以</w:t>
      </w:r>
      <w:r>
        <w:rPr>
          <w:rFonts w:hint="eastAsia" w:ascii="宋体" w:hAnsi="宋体" w:cs="宋体"/>
          <w:color w:val="auto"/>
          <w:sz w:val="24"/>
          <w:szCs w:val="24"/>
          <w:u w:val="single"/>
        </w:rPr>
        <w:t xml:space="preserve"> 公对公转账  </w:t>
      </w:r>
      <w:r>
        <w:rPr>
          <w:rFonts w:hint="eastAsia" w:ascii="宋体" w:hAnsi="宋体" w:cs="宋体"/>
          <w:color w:val="auto"/>
          <w:sz w:val="24"/>
          <w:szCs w:val="24"/>
        </w:rPr>
        <w:t>形式提交的保证金，金额为</w:t>
      </w:r>
      <w:r>
        <w:rPr>
          <w:rFonts w:hint="eastAsia" w:ascii="宋体" w:hAnsi="宋体" w:cs="宋体"/>
          <w:color w:val="auto"/>
          <w:sz w:val="24"/>
          <w:szCs w:val="24"/>
          <w:u w:val="single"/>
        </w:rPr>
        <w:t xml:space="preserve">        </w:t>
      </w:r>
      <w:r>
        <w:rPr>
          <w:rFonts w:hint="eastAsia" w:ascii="宋体" w:hAnsi="宋体" w:cs="宋体"/>
          <w:color w:val="auto"/>
          <w:sz w:val="24"/>
          <w:szCs w:val="24"/>
        </w:rPr>
        <w:t>元。</w:t>
      </w:r>
    </w:p>
    <w:p>
      <w:pPr>
        <w:spacing w:line="360" w:lineRule="auto"/>
        <w:ind w:firstLine="480" w:firstLineChars="200"/>
        <w:rPr>
          <w:rFonts w:ascii="宋体" w:hAnsi="宋体"/>
          <w:color w:val="auto"/>
          <w:sz w:val="24"/>
          <w:szCs w:val="24"/>
        </w:rPr>
      </w:pPr>
      <w:r>
        <w:rPr>
          <w:rFonts w:hint="eastAsia" w:ascii="宋体" w:hAnsi="宋体"/>
          <w:color w:val="auto"/>
          <w:sz w:val="24"/>
          <w:szCs w:val="24"/>
        </w:rPr>
        <w:t>据此函，签字代表宣布同意如下：</w:t>
      </w:r>
    </w:p>
    <w:p>
      <w:pPr>
        <w:spacing w:line="360" w:lineRule="auto"/>
        <w:ind w:firstLine="480" w:firstLineChars="200"/>
        <w:rPr>
          <w:rFonts w:ascii="宋体" w:hAnsi="宋体"/>
          <w:color w:val="auto"/>
          <w:sz w:val="24"/>
          <w:szCs w:val="24"/>
        </w:rPr>
      </w:pPr>
      <w:r>
        <w:rPr>
          <w:rFonts w:hint="eastAsia" w:ascii="宋体" w:hAnsi="宋体"/>
          <w:color w:val="auto"/>
          <w:sz w:val="24"/>
          <w:szCs w:val="24"/>
        </w:rPr>
        <w:t>1.投标人已详细审查全部招标文件，包括修改文件（如有的话）和有关附件，将自行承担因对全部招标文件理解不正确或误解而产生的相应后果。</w:t>
      </w:r>
    </w:p>
    <w:p>
      <w:pPr>
        <w:spacing w:line="360" w:lineRule="auto"/>
        <w:rPr>
          <w:rFonts w:ascii="宋体" w:hAnsi="宋体"/>
          <w:color w:val="auto"/>
          <w:sz w:val="24"/>
          <w:szCs w:val="24"/>
        </w:rPr>
      </w:pPr>
      <w:r>
        <w:rPr>
          <w:rFonts w:hint="eastAsia" w:ascii="宋体" w:hAnsi="宋体"/>
          <w:color w:val="auto"/>
          <w:sz w:val="24"/>
          <w:szCs w:val="24"/>
        </w:rPr>
        <w:t xml:space="preserve">    2.投标人保证遵守招标文件的全部规定，投标人所提交的材料中所含的信息均为真实、准确、完整，且不具有任何误导性。</w:t>
      </w:r>
    </w:p>
    <w:p>
      <w:pPr>
        <w:spacing w:line="360" w:lineRule="auto"/>
        <w:rPr>
          <w:rFonts w:ascii="宋体" w:hAnsi="宋体"/>
          <w:color w:val="auto"/>
          <w:sz w:val="24"/>
          <w:szCs w:val="24"/>
        </w:rPr>
      </w:pPr>
      <w:r>
        <w:rPr>
          <w:rFonts w:hint="eastAsia" w:ascii="宋体" w:hAnsi="宋体"/>
          <w:color w:val="auto"/>
          <w:sz w:val="24"/>
          <w:szCs w:val="24"/>
        </w:rPr>
        <w:t xml:space="preserve">    3.投标人将按招标文件的规定履行合同责任和义务。</w:t>
      </w:r>
    </w:p>
    <w:p>
      <w:pPr>
        <w:spacing w:line="360" w:lineRule="auto"/>
        <w:rPr>
          <w:rFonts w:ascii="宋体" w:hAnsi="宋体"/>
          <w:color w:val="auto"/>
          <w:sz w:val="24"/>
          <w:szCs w:val="24"/>
        </w:rPr>
      </w:pPr>
      <w:r>
        <w:rPr>
          <w:rFonts w:hint="eastAsia" w:ascii="宋体" w:hAnsi="宋体"/>
          <w:color w:val="auto"/>
          <w:sz w:val="24"/>
          <w:szCs w:val="24"/>
        </w:rPr>
        <w:t xml:space="preserve">    4.本投标文件自开标日起投标有效期为：在招标文件《投标人须知前附表2》所规定的期限内保持有效。</w:t>
      </w:r>
    </w:p>
    <w:p>
      <w:pPr>
        <w:spacing w:line="360" w:lineRule="auto"/>
        <w:rPr>
          <w:rFonts w:ascii="宋体" w:hAnsi="宋体"/>
          <w:color w:val="auto"/>
          <w:sz w:val="24"/>
          <w:szCs w:val="24"/>
        </w:rPr>
      </w:pPr>
      <w:r>
        <w:rPr>
          <w:rFonts w:hint="eastAsia" w:ascii="宋体" w:hAnsi="宋体"/>
          <w:color w:val="auto"/>
          <w:sz w:val="24"/>
          <w:szCs w:val="24"/>
        </w:rPr>
        <w:t xml:space="preserve">    5.如果发生招标文件第二章投标人须知第12条所述情况，则同意招标代理机构不予退还投标保证金。</w:t>
      </w:r>
    </w:p>
    <w:p>
      <w:pPr>
        <w:spacing w:line="360" w:lineRule="auto"/>
        <w:ind w:firstLine="480" w:firstLineChars="200"/>
        <w:rPr>
          <w:rFonts w:ascii="宋体" w:hAnsi="宋体"/>
          <w:color w:val="auto"/>
          <w:sz w:val="24"/>
          <w:szCs w:val="24"/>
        </w:rPr>
      </w:pPr>
      <w:r>
        <w:rPr>
          <w:rFonts w:hint="eastAsia" w:ascii="宋体" w:hAnsi="宋体"/>
          <w:color w:val="auto"/>
          <w:sz w:val="24"/>
          <w:szCs w:val="24"/>
        </w:rPr>
        <w:t>6.投标人同意提供按照招标人可能要求的与其投标有关的一切数据或资料，完全理解贵方不一定要接受最低的报价或收到的任何投标。</w:t>
      </w:r>
    </w:p>
    <w:p>
      <w:pPr>
        <w:spacing w:line="360" w:lineRule="auto"/>
        <w:ind w:firstLine="480" w:firstLineChars="200"/>
        <w:rPr>
          <w:rFonts w:ascii="宋体" w:hAnsi="宋体"/>
          <w:color w:val="auto"/>
          <w:sz w:val="24"/>
          <w:szCs w:val="24"/>
        </w:rPr>
      </w:pPr>
      <w:r>
        <w:rPr>
          <w:rFonts w:hint="eastAsia" w:ascii="宋体" w:hAnsi="宋体"/>
          <w:color w:val="auto"/>
          <w:sz w:val="24"/>
          <w:szCs w:val="24"/>
        </w:rPr>
        <w:t>7.与本投标有关的一切正式往来通讯请寄：</w:t>
      </w:r>
    </w:p>
    <w:p>
      <w:pPr>
        <w:spacing w:line="360" w:lineRule="auto"/>
        <w:rPr>
          <w:rFonts w:ascii="宋体" w:hAnsi="宋体"/>
          <w:color w:val="auto"/>
          <w:sz w:val="24"/>
          <w:szCs w:val="24"/>
          <w:u w:val="single"/>
        </w:rPr>
      </w:pPr>
      <w:r>
        <w:rPr>
          <w:rFonts w:hint="eastAsia" w:ascii="宋体" w:hAnsi="宋体"/>
          <w:color w:val="auto"/>
          <w:sz w:val="24"/>
          <w:szCs w:val="24"/>
        </w:rPr>
        <w:t xml:space="preserve">      地址： </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邮编： </w:t>
      </w:r>
    </w:p>
    <w:p>
      <w:pPr>
        <w:spacing w:line="360" w:lineRule="auto"/>
        <w:rPr>
          <w:rFonts w:ascii="宋体" w:hAnsi="宋体"/>
          <w:color w:val="auto"/>
          <w:sz w:val="24"/>
          <w:szCs w:val="24"/>
          <w:u w:val="single"/>
        </w:rPr>
      </w:pPr>
      <w:r>
        <w:rPr>
          <w:rFonts w:hint="eastAsia" w:ascii="宋体" w:hAnsi="宋体"/>
          <w:color w:val="auto"/>
          <w:sz w:val="24"/>
          <w:szCs w:val="24"/>
        </w:rPr>
        <w:t xml:space="preserve">      电话： </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传真： </w:t>
      </w:r>
    </w:p>
    <w:p>
      <w:pPr>
        <w:spacing w:line="360" w:lineRule="auto"/>
        <w:rPr>
          <w:rFonts w:ascii="宋体" w:hAnsi="宋体"/>
          <w:color w:val="auto"/>
          <w:sz w:val="24"/>
          <w:szCs w:val="24"/>
          <w:u w:val="single"/>
        </w:rPr>
      </w:pPr>
      <w:r>
        <w:rPr>
          <w:rFonts w:hint="eastAsia" w:ascii="宋体" w:hAnsi="宋体"/>
          <w:color w:val="auto"/>
          <w:sz w:val="24"/>
          <w:szCs w:val="24"/>
        </w:rPr>
        <w:t xml:space="preserve">      投标人代表签字： </w:t>
      </w:r>
    </w:p>
    <w:p>
      <w:pPr>
        <w:spacing w:line="360" w:lineRule="auto"/>
        <w:rPr>
          <w:rFonts w:ascii="宋体" w:hAnsi="宋体"/>
          <w:color w:val="auto"/>
          <w:sz w:val="24"/>
          <w:szCs w:val="24"/>
        </w:rPr>
      </w:pPr>
      <w:r>
        <w:rPr>
          <w:rFonts w:hint="eastAsia" w:ascii="宋体" w:hAnsi="宋体"/>
          <w:color w:val="auto"/>
          <w:sz w:val="24"/>
          <w:szCs w:val="24"/>
        </w:rPr>
        <w:t xml:space="preserve">      投标人（全称并加盖公章）：</w:t>
      </w:r>
    </w:p>
    <w:p>
      <w:pPr>
        <w:spacing w:line="360" w:lineRule="auto"/>
        <w:rPr>
          <w:rFonts w:ascii="宋体" w:hAnsi="宋体"/>
          <w:color w:val="auto"/>
          <w:sz w:val="24"/>
          <w:szCs w:val="24"/>
        </w:rPr>
      </w:pPr>
      <w:r>
        <w:rPr>
          <w:rFonts w:hint="eastAsia" w:ascii="宋体" w:hAnsi="宋体"/>
          <w:color w:val="auto"/>
          <w:sz w:val="24"/>
          <w:szCs w:val="24"/>
        </w:rPr>
        <w:t xml:space="preserve">      日  期：</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年</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月</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 日</w:t>
      </w:r>
    </w:p>
    <w:p>
      <w:pPr>
        <w:spacing w:beforeLines="50" w:afterLines="50"/>
        <w:jc w:val="center"/>
        <w:rPr>
          <w:rFonts w:hint="eastAsia" w:ascii="宋体" w:hAnsi="宋体"/>
          <w:b/>
          <w:bCs/>
          <w:color w:val="auto"/>
          <w:sz w:val="30"/>
          <w:szCs w:val="32"/>
        </w:rPr>
      </w:pPr>
    </w:p>
    <w:p>
      <w:pPr>
        <w:spacing w:beforeLines="50" w:afterLines="50"/>
        <w:jc w:val="center"/>
        <w:rPr>
          <w:rFonts w:hint="eastAsia" w:ascii="宋体" w:hAnsi="宋体"/>
          <w:b/>
          <w:bCs/>
          <w:color w:val="auto"/>
          <w:sz w:val="30"/>
          <w:szCs w:val="32"/>
        </w:rPr>
      </w:pPr>
    </w:p>
    <w:p>
      <w:pPr>
        <w:rPr>
          <w:rFonts w:hint="eastAsia" w:ascii="宋体" w:hAnsi="宋体"/>
          <w:b/>
          <w:bCs/>
          <w:color w:val="auto"/>
          <w:sz w:val="30"/>
          <w:szCs w:val="32"/>
          <w:lang w:val="en-US" w:eastAsia="zh-CN"/>
        </w:rPr>
      </w:pPr>
      <w:r>
        <w:rPr>
          <w:rFonts w:hint="eastAsia" w:ascii="宋体" w:hAnsi="宋体"/>
          <w:b/>
          <w:bCs/>
          <w:color w:val="auto"/>
          <w:sz w:val="30"/>
          <w:szCs w:val="32"/>
          <w:lang w:val="en-US" w:eastAsia="zh-CN"/>
        </w:rPr>
        <w:br w:type="page"/>
      </w:r>
    </w:p>
    <w:p>
      <w:pPr>
        <w:spacing w:beforeLines="50" w:afterLines="50"/>
        <w:jc w:val="center"/>
        <w:rPr>
          <w:rFonts w:ascii="宋体" w:hAnsi="宋体"/>
          <w:b/>
          <w:bCs/>
          <w:color w:val="auto"/>
          <w:sz w:val="30"/>
          <w:szCs w:val="32"/>
        </w:rPr>
      </w:pPr>
      <w:r>
        <w:rPr>
          <w:rFonts w:hint="eastAsia" w:ascii="宋体" w:hAnsi="宋体"/>
          <w:b/>
          <w:bCs/>
          <w:color w:val="auto"/>
          <w:sz w:val="30"/>
          <w:szCs w:val="32"/>
          <w:lang w:val="en-US" w:eastAsia="zh-CN"/>
        </w:rPr>
        <w:t>2.</w:t>
      </w:r>
      <w:r>
        <w:rPr>
          <w:rFonts w:hint="eastAsia" w:ascii="宋体" w:hAnsi="宋体"/>
          <w:b/>
          <w:bCs/>
          <w:color w:val="auto"/>
          <w:sz w:val="30"/>
          <w:szCs w:val="32"/>
        </w:rPr>
        <w:t>开标一览表</w:t>
      </w:r>
    </w:p>
    <w:p>
      <w:pPr>
        <w:spacing w:line="360" w:lineRule="auto"/>
        <w:rPr>
          <w:rFonts w:ascii="宋体" w:hAnsi="宋体"/>
          <w:color w:val="auto"/>
          <w:sz w:val="24"/>
          <w:u w:val="single"/>
        </w:rPr>
      </w:pPr>
      <w:r>
        <w:rPr>
          <w:rFonts w:hint="eastAsia" w:ascii="宋体" w:hAnsi="宋体"/>
          <w:color w:val="auto"/>
          <w:sz w:val="24"/>
        </w:rPr>
        <w:t xml:space="preserve">项目名称：    </w:t>
      </w:r>
      <w:r>
        <w:rPr>
          <w:rFonts w:hint="eastAsia" w:ascii="宋体" w:hAnsi="宋体"/>
          <w:color w:val="auto"/>
          <w:sz w:val="24"/>
          <w:lang w:val="en-US" w:eastAsia="zh-CN"/>
        </w:rPr>
        <w:t xml:space="preserve">                                 </w:t>
      </w:r>
      <w:r>
        <w:rPr>
          <w:rFonts w:hint="eastAsia" w:ascii="宋体" w:hAnsi="宋体"/>
          <w:color w:val="auto"/>
          <w:sz w:val="24"/>
        </w:rPr>
        <w:t xml:space="preserve">招标编号： </w:t>
      </w:r>
    </w:p>
    <w:p>
      <w:pPr>
        <w:spacing w:line="360" w:lineRule="auto"/>
        <w:jc w:val="center"/>
        <w:rPr>
          <w:rFonts w:ascii="宋体" w:hAnsi="宋体"/>
          <w:color w:val="auto"/>
          <w:sz w:val="24"/>
        </w:rPr>
      </w:pPr>
      <w:r>
        <w:rPr>
          <w:rFonts w:hint="eastAsia" w:ascii="宋体" w:hAnsi="宋体"/>
          <w:color w:val="auto"/>
          <w:sz w:val="24"/>
          <w:lang w:val="en-US" w:eastAsia="zh-CN"/>
        </w:rPr>
        <w:t xml:space="preserve">                                       </w:t>
      </w:r>
      <w:r>
        <w:rPr>
          <w:rFonts w:hint="eastAsia" w:ascii="宋体" w:hAnsi="宋体"/>
          <w:color w:val="auto"/>
          <w:sz w:val="24"/>
        </w:rPr>
        <w:t>货币单位：人民币</w:t>
      </w:r>
    </w:p>
    <w:tbl>
      <w:tblPr>
        <w:tblStyle w:val="41"/>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2912"/>
        <w:gridCol w:w="1004"/>
        <w:gridCol w:w="1935"/>
        <w:gridCol w:w="1740"/>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684" w:type="dxa"/>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exact"/>
              <w:jc w:val="center"/>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序号</w:t>
            </w:r>
          </w:p>
        </w:tc>
        <w:tc>
          <w:tcPr>
            <w:tcW w:w="2912" w:type="dxa"/>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exact"/>
              <w:jc w:val="center"/>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项目名称</w:t>
            </w:r>
          </w:p>
        </w:tc>
        <w:tc>
          <w:tcPr>
            <w:tcW w:w="1004" w:type="dxa"/>
            <w:vAlign w:val="center"/>
          </w:tcPr>
          <w:p>
            <w:pPr>
              <w:keepNext w:val="0"/>
              <w:keepLines w:val="0"/>
              <w:pageBreakBefore w:val="0"/>
              <w:widowControl/>
              <w:kinsoku/>
              <w:wordWrap/>
              <w:overflowPunct/>
              <w:topLinePunct w:val="0"/>
              <w:autoSpaceDE/>
              <w:autoSpaceDN/>
              <w:bidi w:val="0"/>
              <w:adjustRightInd/>
              <w:snapToGrid/>
              <w:spacing w:before="100" w:beforeAutospacing="1" w:after="100" w:afterAutospacing="1" w:line="360" w:lineRule="exact"/>
              <w:jc w:val="center"/>
              <w:textAlignment w:val="auto"/>
              <w:rPr>
                <w:rFonts w:hint="eastAsia" w:ascii="宋体" w:hAnsi="宋体" w:eastAsia="宋体" w:cs="宋体"/>
                <w:b/>
                <w:color w:val="auto"/>
                <w:kern w:val="0"/>
                <w:sz w:val="24"/>
                <w:highlight w:val="none"/>
                <w:lang w:eastAsia="zh-CN"/>
              </w:rPr>
            </w:pPr>
            <w:r>
              <w:rPr>
                <w:rFonts w:hint="eastAsia" w:ascii="宋体" w:hAnsi="宋体" w:cs="宋体"/>
                <w:b/>
                <w:color w:val="auto"/>
                <w:kern w:val="0"/>
                <w:sz w:val="24"/>
                <w:highlight w:val="none"/>
                <w:lang w:val="en-US" w:eastAsia="zh-CN"/>
              </w:rPr>
              <w:t>数量</w:t>
            </w:r>
          </w:p>
        </w:tc>
        <w:tc>
          <w:tcPr>
            <w:tcW w:w="1935"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b/>
                <w:bCs/>
                <w:color w:val="auto"/>
                <w:kern w:val="0"/>
                <w:sz w:val="24"/>
                <w:highlight w:val="none"/>
              </w:rPr>
            </w:pPr>
            <w:r>
              <w:rPr>
                <w:rFonts w:hint="eastAsia" w:ascii="宋体" w:hAnsi="宋体" w:cs="宋体"/>
                <w:b/>
                <w:bCs/>
                <w:color w:val="auto"/>
                <w:sz w:val="24"/>
                <w:lang w:val="en-US" w:eastAsia="zh-CN"/>
              </w:rPr>
              <w:t>不</w:t>
            </w:r>
            <w:r>
              <w:rPr>
                <w:rFonts w:hint="eastAsia" w:ascii="宋体" w:hAnsi="宋体" w:cs="宋体"/>
                <w:b/>
                <w:bCs/>
                <w:color w:val="auto"/>
                <w:sz w:val="24"/>
              </w:rPr>
              <w:t>含税总报价（元）</w:t>
            </w:r>
          </w:p>
        </w:tc>
        <w:tc>
          <w:tcPr>
            <w:tcW w:w="1740"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cs="宋体"/>
                <w:b/>
                <w:bCs/>
                <w:color w:val="auto"/>
                <w:sz w:val="24"/>
              </w:rPr>
            </w:pPr>
            <w:r>
              <w:rPr>
                <w:rFonts w:hint="eastAsia" w:ascii="宋体" w:hAnsi="宋体" w:cs="宋体"/>
                <w:b/>
                <w:bCs/>
                <w:color w:val="auto"/>
                <w:sz w:val="24"/>
              </w:rPr>
              <w:t>含税总报价（元）</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color w:val="auto"/>
                <w:kern w:val="0"/>
                <w:sz w:val="24"/>
                <w:highlight w:val="none"/>
                <w:lang w:eastAsia="zh-CN"/>
              </w:rPr>
            </w:pPr>
            <w:r>
              <w:rPr>
                <w:rFonts w:hint="eastAsia" w:ascii="宋体" w:hAnsi="宋体" w:cs="宋体"/>
                <w:b/>
                <w:bCs/>
                <w:color w:val="auto"/>
                <w:kern w:val="0"/>
                <w:sz w:val="24"/>
                <w:highlight w:val="none"/>
                <w:lang w:val="en-US" w:eastAsia="zh-CN"/>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84" w:type="dxa"/>
            <w:vAlign w:val="center"/>
          </w:tcPr>
          <w:p>
            <w:pPr>
              <w:spacing w:line="360" w:lineRule="auto"/>
              <w:jc w:val="center"/>
              <w:rPr>
                <w:rFonts w:hint="eastAsia" w:ascii="宋体" w:hAnsi="宋体"/>
                <w:color w:val="auto"/>
                <w:sz w:val="24"/>
                <w:highlight w:val="none"/>
              </w:rPr>
            </w:pPr>
            <w:r>
              <w:rPr>
                <w:rFonts w:hint="eastAsia" w:ascii="宋体" w:hAnsi="宋体"/>
                <w:color w:val="auto"/>
                <w:sz w:val="24"/>
                <w:highlight w:val="none"/>
              </w:rPr>
              <w:t>1</w:t>
            </w:r>
          </w:p>
        </w:tc>
        <w:tc>
          <w:tcPr>
            <w:tcW w:w="2912" w:type="dxa"/>
            <w:vAlign w:val="center"/>
          </w:tcPr>
          <w:p>
            <w:pPr>
              <w:spacing w:line="360" w:lineRule="auto"/>
              <w:jc w:val="left"/>
              <w:rPr>
                <w:rFonts w:hint="default" w:ascii="宋体" w:hAnsi="宋体" w:eastAsia="宋体"/>
                <w:color w:val="auto"/>
                <w:sz w:val="24"/>
                <w:highlight w:val="none"/>
                <w:lang w:val="en-US" w:eastAsia="zh-CN"/>
              </w:rPr>
            </w:pPr>
            <w:r>
              <w:rPr>
                <w:rFonts w:hint="eastAsia" w:ascii="宋体" w:hAnsi="宋体"/>
                <w:color w:val="auto"/>
                <w:sz w:val="24"/>
                <w:highlight w:val="none"/>
                <w:lang w:eastAsia="zh-CN"/>
              </w:rPr>
              <w:t>2023年度码头智能化设施维养外包（</w:t>
            </w:r>
            <w:r>
              <w:rPr>
                <w:rFonts w:hint="eastAsia" w:ascii="宋体" w:hAnsi="宋体"/>
                <w:color w:val="auto"/>
                <w:sz w:val="24"/>
                <w:highlight w:val="none"/>
                <w:lang w:val="en-US" w:eastAsia="zh-CN"/>
              </w:rPr>
              <w:t>附件一</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详见投标报价明细表</w:t>
            </w:r>
          </w:p>
        </w:tc>
        <w:tc>
          <w:tcPr>
            <w:tcW w:w="1004" w:type="dxa"/>
            <w:vAlign w:val="center"/>
          </w:tcPr>
          <w:p>
            <w:pPr>
              <w:widowControl/>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1项</w:t>
            </w:r>
          </w:p>
        </w:tc>
        <w:tc>
          <w:tcPr>
            <w:tcW w:w="1935" w:type="dxa"/>
            <w:vAlign w:val="center"/>
          </w:tcPr>
          <w:p>
            <w:pPr>
              <w:widowControl/>
              <w:spacing w:line="360" w:lineRule="auto"/>
              <w:jc w:val="center"/>
              <w:rPr>
                <w:rFonts w:hint="eastAsia" w:ascii="宋体" w:hAnsi="宋体"/>
                <w:color w:val="auto"/>
                <w:sz w:val="24"/>
                <w:highlight w:val="none"/>
              </w:rPr>
            </w:pPr>
          </w:p>
        </w:tc>
        <w:tc>
          <w:tcPr>
            <w:tcW w:w="1740" w:type="dxa"/>
            <w:vAlign w:val="center"/>
          </w:tcPr>
          <w:p>
            <w:pPr>
              <w:widowControl/>
              <w:spacing w:line="360" w:lineRule="auto"/>
              <w:jc w:val="center"/>
              <w:rPr>
                <w:rFonts w:hint="eastAsia" w:ascii="宋体" w:hAnsi="宋体"/>
                <w:color w:val="auto"/>
                <w:sz w:val="24"/>
                <w:highlight w:val="none"/>
              </w:rPr>
            </w:pPr>
          </w:p>
        </w:tc>
        <w:tc>
          <w:tcPr>
            <w:tcW w:w="1575" w:type="dxa"/>
            <w:vMerge w:val="restart"/>
            <w:vAlign w:val="center"/>
          </w:tcPr>
          <w:p>
            <w:pPr>
              <w:widowControl/>
              <w:spacing w:line="360" w:lineRule="auto"/>
              <w:jc w:val="left"/>
              <w:rPr>
                <w:rFonts w:hint="eastAsia" w:ascii="宋体" w:hAnsi="宋体" w:eastAsia="宋体" w:cs="宋体"/>
                <w:color w:val="auto"/>
                <w:kern w:val="0"/>
                <w:sz w:val="24"/>
                <w:highlight w:val="none"/>
                <w:lang w:eastAsia="zh-CN"/>
              </w:rPr>
            </w:pPr>
            <w:r>
              <w:rPr>
                <w:rFonts w:hint="eastAsia" w:ascii="宋体" w:hAnsi="宋体" w:cs="宋体"/>
                <w:color w:val="auto"/>
                <w:sz w:val="24"/>
              </w:rPr>
              <w:t>202</w:t>
            </w:r>
            <w:r>
              <w:rPr>
                <w:rFonts w:hint="eastAsia" w:ascii="宋体" w:hAnsi="宋体" w:cs="宋体"/>
                <w:color w:val="auto"/>
                <w:sz w:val="24"/>
                <w:lang w:val="en-US" w:eastAsia="zh-CN"/>
              </w:rPr>
              <w:t>3</w:t>
            </w:r>
            <w:r>
              <w:rPr>
                <w:rFonts w:hint="eastAsia" w:ascii="宋体" w:hAnsi="宋体" w:cs="宋体"/>
                <w:color w:val="auto"/>
                <w:sz w:val="24"/>
              </w:rPr>
              <w:t>年</w:t>
            </w:r>
            <w:r>
              <w:rPr>
                <w:rFonts w:hint="eastAsia" w:ascii="宋体" w:hAnsi="宋体" w:cs="宋体"/>
                <w:color w:val="auto"/>
                <w:sz w:val="24"/>
                <w:lang w:val="en-US" w:eastAsia="zh-CN"/>
              </w:rPr>
              <w:t>2</w:t>
            </w:r>
            <w:r>
              <w:rPr>
                <w:rFonts w:hint="eastAsia" w:ascii="宋体" w:hAnsi="宋体" w:cs="宋体"/>
                <w:color w:val="auto"/>
                <w:sz w:val="24"/>
              </w:rPr>
              <w:t>月1日至202</w:t>
            </w:r>
            <w:r>
              <w:rPr>
                <w:rFonts w:hint="eastAsia" w:ascii="宋体" w:hAnsi="宋体" w:cs="宋体"/>
                <w:color w:val="auto"/>
                <w:sz w:val="24"/>
                <w:lang w:val="en-US" w:eastAsia="zh-CN"/>
              </w:rPr>
              <w:t>4</w:t>
            </w:r>
            <w:r>
              <w:rPr>
                <w:rFonts w:hint="eastAsia" w:ascii="宋体" w:hAnsi="宋体" w:cs="宋体"/>
                <w:color w:val="auto"/>
                <w:sz w:val="24"/>
              </w:rPr>
              <w:t>年</w:t>
            </w:r>
            <w:r>
              <w:rPr>
                <w:rFonts w:hint="eastAsia" w:ascii="宋体" w:hAnsi="宋体" w:cs="宋体"/>
                <w:color w:val="auto"/>
                <w:sz w:val="24"/>
                <w:lang w:val="en-US" w:eastAsia="zh-CN"/>
              </w:rPr>
              <w:t>1</w:t>
            </w:r>
            <w:r>
              <w:rPr>
                <w:rFonts w:hint="eastAsia" w:ascii="宋体" w:hAnsi="宋体" w:cs="宋体"/>
                <w:color w:val="auto"/>
                <w:sz w:val="24"/>
              </w:rPr>
              <w:t>月31日止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684" w:type="dxa"/>
            <w:vAlign w:val="center"/>
          </w:tcPr>
          <w:p>
            <w:pPr>
              <w:spacing w:line="36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2</w:t>
            </w:r>
          </w:p>
        </w:tc>
        <w:tc>
          <w:tcPr>
            <w:tcW w:w="2912" w:type="dxa"/>
            <w:vAlign w:val="center"/>
          </w:tcPr>
          <w:p>
            <w:pPr>
              <w:spacing w:line="360" w:lineRule="auto"/>
              <w:jc w:val="left"/>
              <w:rPr>
                <w:rFonts w:hint="eastAsia" w:ascii="宋体" w:hAnsi="宋体"/>
                <w:color w:val="auto"/>
                <w:sz w:val="24"/>
                <w:highlight w:val="none"/>
                <w:lang w:eastAsia="zh-CN"/>
              </w:rPr>
            </w:pPr>
            <w:r>
              <w:rPr>
                <w:rFonts w:hint="eastAsia" w:ascii="宋体" w:hAnsi="宋体"/>
                <w:color w:val="auto"/>
                <w:sz w:val="24"/>
                <w:highlight w:val="none"/>
                <w:lang w:eastAsia="zh-CN"/>
              </w:rPr>
              <w:t>2023年度码头智能化设施维养外包（</w:t>
            </w:r>
            <w:r>
              <w:rPr>
                <w:rFonts w:hint="eastAsia" w:ascii="宋体" w:hAnsi="宋体"/>
                <w:color w:val="auto"/>
                <w:sz w:val="24"/>
                <w:highlight w:val="none"/>
                <w:lang w:val="en-US" w:eastAsia="zh-CN"/>
              </w:rPr>
              <w:t>附件二</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详见投标报价明细表</w:t>
            </w:r>
          </w:p>
        </w:tc>
        <w:tc>
          <w:tcPr>
            <w:tcW w:w="1004" w:type="dxa"/>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1项</w:t>
            </w:r>
          </w:p>
        </w:tc>
        <w:tc>
          <w:tcPr>
            <w:tcW w:w="1935" w:type="dxa"/>
            <w:vAlign w:val="center"/>
          </w:tcPr>
          <w:p>
            <w:pPr>
              <w:widowControl/>
              <w:spacing w:line="360" w:lineRule="auto"/>
              <w:jc w:val="center"/>
              <w:rPr>
                <w:rFonts w:hint="eastAsia" w:ascii="宋体" w:hAnsi="宋体"/>
                <w:color w:val="auto"/>
                <w:sz w:val="24"/>
                <w:highlight w:val="none"/>
              </w:rPr>
            </w:pPr>
          </w:p>
        </w:tc>
        <w:tc>
          <w:tcPr>
            <w:tcW w:w="1740" w:type="dxa"/>
            <w:vAlign w:val="center"/>
          </w:tcPr>
          <w:p>
            <w:pPr>
              <w:widowControl/>
              <w:spacing w:line="360" w:lineRule="auto"/>
              <w:jc w:val="center"/>
              <w:rPr>
                <w:rFonts w:hint="eastAsia" w:ascii="宋体" w:hAnsi="宋体"/>
                <w:color w:val="auto"/>
                <w:sz w:val="24"/>
                <w:highlight w:val="none"/>
              </w:rPr>
            </w:pPr>
          </w:p>
        </w:tc>
        <w:tc>
          <w:tcPr>
            <w:tcW w:w="1575" w:type="dxa"/>
            <w:vMerge w:val="continue"/>
            <w:vAlign w:val="center"/>
          </w:tcPr>
          <w:p>
            <w:pPr>
              <w:widowControl/>
              <w:spacing w:line="360" w:lineRule="auto"/>
              <w:jc w:val="left"/>
              <w:rPr>
                <w:rFonts w:hint="default" w:ascii="宋体" w:hAnsi="宋体" w:eastAsia="宋体" w:cs="宋体"/>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684" w:type="dxa"/>
            <w:vAlign w:val="center"/>
          </w:tcPr>
          <w:p>
            <w:pPr>
              <w:spacing w:line="360" w:lineRule="auto"/>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3</w:t>
            </w:r>
          </w:p>
        </w:tc>
        <w:tc>
          <w:tcPr>
            <w:tcW w:w="2912" w:type="dxa"/>
            <w:vAlign w:val="center"/>
          </w:tcPr>
          <w:p>
            <w:pPr>
              <w:spacing w:line="360" w:lineRule="auto"/>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合计</w:t>
            </w:r>
          </w:p>
        </w:tc>
        <w:tc>
          <w:tcPr>
            <w:tcW w:w="1004" w:type="dxa"/>
            <w:vAlign w:val="center"/>
          </w:tcPr>
          <w:p>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1项</w:t>
            </w:r>
          </w:p>
        </w:tc>
        <w:tc>
          <w:tcPr>
            <w:tcW w:w="1935" w:type="dxa"/>
            <w:vAlign w:val="center"/>
          </w:tcPr>
          <w:p>
            <w:pPr>
              <w:widowControl/>
              <w:spacing w:line="360" w:lineRule="auto"/>
              <w:jc w:val="center"/>
              <w:rPr>
                <w:rFonts w:hint="eastAsia" w:ascii="宋体" w:hAnsi="宋体"/>
                <w:color w:val="auto"/>
                <w:sz w:val="24"/>
                <w:highlight w:val="none"/>
              </w:rPr>
            </w:pPr>
          </w:p>
        </w:tc>
        <w:tc>
          <w:tcPr>
            <w:tcW w:w="1740" w:type="dxa"/>
            <w:vAlign w:val="center"/>
          </w:tcPr>
          <w:p>
            <w:pPr>
              <w:widowControl/>
              <w:spacing w:line="360" w:lineRule="auto"/>
              <w:jc w:val="center"/>
              <w:rPr>
                <w:rFonts w:hint="eastAsia" w:ascii="宋体" w:hAnsi="宋体"/>
                <w:color w:val="auto"/>
                <w:sz w:val="24"/>
                <w:highlight w:val="none"/>
              </w:rPr>
            </w:pPr>
          </w:p>
        </w:tc>
        <w:tc>
          <w:tcPr>
            <w:tcW w:w="1575" w:type="dxa"/>
            <w:vMerge w:val="continue"/>
            <w:vAlign w:val="center"/>
          </w:tcPr>
          <w:p>
            <w:pPr>
              <w:widowControl/>
              <w:spacing w:line="360" w:lineRule="auto"/>
              <w:jc w:val="left"/>
              <w:rPr>
                <w:rFonts w:hint="default" w:ascii="宋体" w:hAnsi="宋体" w:eastAsia="宋体" w:cs="宋体"/>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850" w:type="dxa"/>
            <w:gridSpan w:val="6"/>
            <w:vAlign w:val="center"/>
          </w:tcPr>
          <w:p>
            <w:pPr>
              <w:spacing w:line="440" w:lineRule="exact"/>
              <w:rPr>
                <w:rFonts w:hint="eastAsia" w:ascii="宋体" w:hAnsi="宋体" w:cs="宋体"/>
                <w:b/>
                <w:bCs/>
                <w:color w:val="auto"/>
                <w:sz w:val="24"/>
              </w:rPr>
            </w:pPr>
            <w:r>
              <w:rPr>
                <w:rFonts w:hint="eastAsia" w:ascii="宋体" w:hAnsi="宋体" w:cs="宋体"/>
                <w:b/>
                <w:bCs/>
                <w:color w:val="auto"/>
                <w:sz w:val="24"/>
              </w:rPr>
              <w:t>增值税专用发票税率或征收率：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850" w:type="dxa"/>
            <w:gridSpan w:val="6"/>
            <w:vAlign w:val="center"/>
          </w:tcPr>
          <w:p>
            <w:pPr>
              <w:spacing w:line="440" w:lineRule="exact"/>
              <w:rPr>
                <w:rFonts w:hint="eastAsia" w:ascii="宋体" w:hAnsi="宋体" w:cs="宋体"/>
                <w:b/>
                <w:color w:val="auto"/>
                <w:sz w:val="24"/>
                <w:u w:val="single"/>
              </w:rPr>
            </w:pPr>
            <w:r>
              <w:rPr>
                <w:rFonts w:hint="eastAsia" w:ascii="宋体" w:hAnsi="宋体" w:cs="宋体"/>
                <w:b/>
                <w:color w:val="auto"/>
                <w:sz w:val="24"/>
                <w:u w:val="none"/>
                <w:lang w:val="en-US" w:eastAsia="zh-CN"/>
              </w:rPr>
              <w:t>不</w:t>
            </w:r>
            <w:r>
              <w:rPr>
                <w:rFonts w:hint="eastAsia" w:ascii="宋体" w:hAnsi="宋体" w:cs="宋体"/>
                <w:b/>
                <w:color w:val="auto"/>
                <w:sz w:val="24"/>
                <w:u w:val="none"/>
              </w:rPr>
              <w:t>含税总报价（元）：小写：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850" w:type="dxa"/>
            <w:gridSpan w:val="6"/>
            <w:vAlign w:val="center"/>
          </w:tcPr>
          <w:p>
            <w:pPr>
              <w:spacing w:line="440" w:lineRule="exact"/>
              <w:rPr>
                <w:rFonts w:hint="eastAsia" w:ascii="宋体" w:hAnsi="宋体" w:cs="宋体"/>
                <w:b/>
                <w:color w:val="auto"/>
                <w:sz w:val="24"/>
              </w:rPr>
            </w:pPr>
            <w:r>
              <w:rPr>
                <w:rFonts w:hint="eastAsia" w:ascii="宋体" w:hAnsi="宋体" w:cs="宋体"/>
                <w:b/>
                <w:color w:val="auto"/>
                <w:sz w:val="24"/>
              </w:rPr>
              <w:t>含税总报价（元）：小写：                      大写：</w:t>
            </w:r>
          </w:p>
        </w:tc>
      </w:tr>
    </w:tbl>
    <w:p>
      <w:pPr>
        <w:tabs>
          <w:tab w:val="left" w:pos="13000"/>
        </w:tabs>
        <w:spacing w:line="380" w:lineRule="exact"/>
        <w:rPr>
          <w:rFonts w:ascii="宋体" w:hAnsi="宋体" w:cs="宋体"/>
          <w:color w:val="auto"/>
          <w:sz w:val="24"/>
        </w:rPr>
      </w:pPr>
      <w:r>
        <w:rPr>
          <w:rFonts w:hint="eastAsia" w:ascii="宋体" w:hAnsi="宋体" w:cs="宋体"/>
          <w:color w:val="auto"/>
          <w:sz w:val="24"/>
        </w:rPr>
        <w:t xml:space="preserve">注：1. </w:t>
      </w:r>
      <w:r>
        <w:rPr>
          <w:rFonts w:hint="eastAsia" w:ascii="宋体" w:hAnsi="宋体" w:cs="宋体"/>
          <w:b/>
          <w:color w:val="auto"/>
          <w:sz w:val="24"/>
        </w:rPr>
        <w:t>不含税总报价=含税报价/(1+增值税专用发票税率或征收率)。</w:t>
      </w:r>
    </w:p>
    <w:p>
      <w:pPr>
        <w:tabs>
          <w:tab w:val="left" w:pos="13000"/>
        </w:tabs>
        <w:spacing w:line="380" w:lineRule="exact"/>
        <w:ind w:firstLine="480" w:firstLineChars="200"/>
        <w:rPr>
          <w:rFonts w:ascii="宋体" w:hAnsi="宋体" w:cs="宋体"/>
          <w:color w:val="auto"/>
          <w:sz w:val="24"/>
        </w:rPr>
      </w:pPr>
      <w:r>
        <w:rPr>
          <w:rFonts w:hint="eastAsia" w:ascii="宋体" w:hAnsi="宋体" w:cs="宋体"/>
          <w:color w:val="auto"/>
          <w:sz w:val="24"/>
        </w:rPr>
        <w:t>2. 此表正本与</w:t>
      </w:r>
      <w:r>
        <w:rPr>
          <w:rFonts w:hint="eastAsia" w:ascii="宋体" w:hAnsi="宋体" w:cs="宋体"/>
          <w:color w:val="auto"/>
          <w:sz w:val="24"/>
          <w:lang w:eastAsia="zh-CN"/>
        </w:rPr>
        <w:t>招标</w:t>
      </w:r>
      <w:r>
        <w:rPr>
          <w:rFonts w:hint="eastAsia" w:ascii="宋体" w:hAnsi="宋体" w:cs="宋体"/>
          <w:color w:val="auto"/>
          <w:sz w:val="24"/>
        </w:rPr>
        <w:t>书正本和保证金凭证复印件一同装在一单独的信封内密封（在装订成册的报价文件正本及副本中也必须包含报价一览表、</w:t>
      </w:r>
      <w:r>
        <w:rPr>
          <w:rFonts w:hint="eastAsia" w:ascii="宋体" w:hAnsi="宋体" w:cs="宋体"/>
          <w:color w:val="auto"/>
          <w:sz w:val="24"/>
          <w:lang w:eastAsia="zh-CN"/>
        </w:rPr>
        <w:t>招标</w:t>
      </w:r>
      <w:r>
        <w:rPr>
          <w:rFonts w:hint="eastAsia" w:ascii="宋体" w:hAnsi="宋体" w:cs="宋体"/>
          <w:color w:val="auto"/>
          <w:sz w:val="24"/>
        </w:rPr>
        <w:t>书、保证金凭证）。</w:t>
      </w:r>
    </w:p>
    <w:p>
      <w:pPr>
        <w:spacing w:line="380" w:lineRule="exact"/>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b/>
          <w:bCs/>
          <w:color w:val="auto"/>
          <w:sz w:val="24"/>
        </w:rPr>
        <w:t xml:space="preserve"> 评审以不含税价为依据，含税价为签订合同的依据</w:t>
      </w:r>
      <w:r>
        <w:rPr>
          <w:rFonts w:hint="eastAsia" w:ascii="宋体" w:hAnsi="宋体" w:cs="宋体"/>
          <w:color w:val="auto"/>
          <w:sz w:val="24"/>
        </w:rPr>
        <w:t>。</w:t>
      </w:r>
    </w:p>
    <w:p>
      <w:pPr>
        <w:spacing w:line="480" w:lineRule="auto"/>
        <w:rPr>
          <w:rFonts w:ascii="宋体" w:hAnsi="宋体"/>
          <w:color w:val="auto"/>
          <w:sz w:val="24"/>
        </w:rPr>
      </w:pPr>
    </w:p>
    <w:p>
      <w:pPr>
        <w:spacing w:line="360" w:lineRule="auto"/>
        <w:ind w:firstLine="4200" w:firstLineChars="1750"/>
        <w:rPr>
          <w:rFonts w:ascii="宋体" w:hAnsi="宋体"/>
          <w:color w:val="auto"/>
          <w:sz w:val="24"/>
        </w:rPr>
      </w:pPr>
      <w:r>
        <w:rPr>
          <w:rFonts w:hint="eastAsia" w:ascii="宋体" w:hAnsi="宋体"/>
          <w:color w:val="auto"/>
          <w:sz w:val="24"/>
        </w:rPr>
        <w:t>投标人全称（加盖公章）：</w:t>
      </w:r>
    </w:p>
    <w:p>
      <w:pPr>
        <w:spacing w:line="360" w:lineRule="auto"/>
        <w:ind w:firstLine="4200" w:firstLineChars="1750"/>
        <w:rPr>
          <w:rFonts w:ascii="宋体" w:hAnsi="宋体"/>
          <w:color w:val="auto"/>
          <w:sz w:val="24"/>
          <w:u w:val="single"/>
        </w:rPr>
      </w:pPr>
      <w:r>
        <w:rPr>
          <w:rFonts w:hint="eastAsia" w:ascii="宋体" w:hAnsi="宋体"/>
          <w:color w:val="auto"/>
          <w:sz w:val="24"/>
        </w:rPr>
        <w:t>投标人代表签字：</w:t>
      </w:r>
    </w:p>
    <w:p>
      <w:pPr>
        <w:spacing w:line="360" w:lineRule="auto"/>
        <w:ind w:firstLine="4200" w:firstLineChars="1750"/>
        <w:rPr>
          <w:rFonts w:ascii="宋体" w:hAnsi="宋体"/>
          <w:color w:val="auto"/>
          <w:sz w:val="24"/>
        </w:rPr>
      </w:pPr>
      <w:r>
        <w:rPr>
          <w:rFonts w:hint="eastAsia" w:ascii="宋体" w:hAnsi="宋体"/>
          <w:color w:val="auto"/>
          <w:sz w:val="24"/>
        </w:rPr>
        <w:t>日          期：</w:t>
      </w:r>
    </w:p>
    <w:p>
      <w:pPr>
        <w:pStyle w:val="40"/>
        <w:ind w:left="0" w:leftChars="0" w:firstLine="0" w:firstLineChars="0"/>
        <w:rPr>
          <w:rFonts w:ascii="宋体" w:hAnsi="宋体"/>
          <w:b/>
          <w:bCs/>
          <w:color w:val="auto"/>
          <w:sz w:val="30"/>
          <w:szCs w:val="32"/>
        </w:rPr>
      </w:pPr>
    </w:p>
    <w:p>
      <w:pPr>
        <w:rPr>
          <w:rFonts w:hint="eastAsia" w:ascii="宋体" w:hAnsi="宋体"/>
          <w:b/>
          <w:bCs/>
          <w:color w:val="auto"/>
          <w:sz w:val="30"/>
          <w:szCs w:val="32"/>
          <w:lang w:val="en-US" w:eastAsia="zh-CN"/>
        </w:rPr>
        <w:sectPr>
          <w:headerReference r:id="rId8" w:type="default"/>
          <w:footerReference r:id="rId9" w:type="default"/>
          <w:pgSz w:w="11900" w:h="16838"/>
          <w:pgMar w:top="1440" w:right="1417" w:bottom="1440" w:left="1417" w:header="0" w:footer="850" w:gutter="0"/>
          <w:pgNumType w:fmt="decimal"/>
          <w:cols w:space="0" w:num="1"/>
          <w:rtlGutter w:val="0"/>
          <w:docGrid w:linePitch="360" w:charSpace="0"/>
        </w:sectPr>
      </w:pPr>
      <w:bookmarkStart w:id="190" w:name="_Toc53649628"/>
      <w:bookmarkStart w:id="191" w:name="_Toc54955426"/>
      <w:bookmarkStart w:id="192" w:name="_Toc35356997"/>
      <w:bookmarkStart w:id="193" w:name="_Toc44362920"/>
      <w:bookmarkStart w:id="194" w:name="_Toc374971684"/>
      <w:bookmarkStart w:id="195" w:name="_Toc38917993"/>
      <w:bookmarkStart w:id="196" w:name="_Toc10569"/>
      <w:bookmarkStart w:id="197" w:name="_Toc44252986"/>
      <w:bookmarkStart w:id="198" w:name="_Toc369071138"/>
      <w:bookmarkStart w:id="199" w:name="_Toc358921182"/>
      <w:bookmarkStart w:id="200" w:name="_Toc53694424"/>
      <w:bookmarkStart w:id="201" w:name="_Toc54955425"/>
    </w:p>
    <w:p>
      <w:pPr>
        <w:numPr>
          <w:ilvl w:val="0"/>
          <w:numId w:val="13"/>
        </w:numPr>
        <w:spacing w:beforeLines="50" w:afterLines="50"/>
        <w:ind w:firstLine="4518" w:firstLineChars="1500"/>
        <w:jc w:val="both"/>
        <w:rPr>
          <w:rFonts w:hint="eastAsia" w:ascii="宋体" w:hAnsi="宋体"/>
          <w:b/>
          <w:bCs/>
          <w:color w:val="auto"/>
          <w:sz w:val="30"/>
          <w:szCs w:val="32"/>
          <w:lang w:val="en-US" w:eastAsia="zh-CN"/>
        </w:rPr>
      </w:pPr>
      <w:r>
        <w:rPr>
          <w:rFonts w:hint="eastAsia" w:ascii="宋体" w:hAnsi="宋体"/>
          <w:b/>
          <w:bCs/>
          <w:color w:val="auto"/>
          <w:sz w:val="30"/>
          <w:szCs w:val="32"/>
          <w:lang w:val="en-US" w:eastAsia="zh-CN"/>
        </w:rPr>
        <w:t>投标报价明细表</w:t>
      </w:r>
      <w:bookmarkEnd w:id="190"/>
      <w:bookmarkEnd w:id="191"/>
      <w:bookmarkEnd w:id="192"/>
      <w:bookmarkEnd w:id="193"/>
      <w:bookmarkEnd w:id="194"/>
      <w:bookmarkEnd w:id="195"/>
      <w:bookmarkEnd w:id="196"/>
      <w:bookmarkEnd w:id="197"/>
      <w:bookmarkEnd w:id="198"/>
      <w:bookmarkEnd w:id="199"/>
      <w:bookmarkEnd w:id="200"/>
    </w:p>
    <w:p>
      <w:pPr>
        <w:spacing w:line="380" w:lineRule="exact"/>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招标编号：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 xml:space="preserve">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 xml:space="preserve">  货币单位：</w:t>
      </w:r>
      <w:r>
        <w:rPr>
          <w:rFonts w:hint="eastAsia" w:ascii="宋体" w:hAnsi="宋体" w:eastAsia="宋体" w:cs="宋体"/>
          <w:color w:val="auto"/>
          <w:sz w:val="24"/>
          <w:highlight w:val="none"/>
          <w:lang w:val="en-US" w:eastAsia="zh-CN"/>
        </w:rPr>
        <w:t>人民币</w:t>
      </w:r>
      <w:r>
        <w:rPr>
          <w:rFonts w:hint="eastAsia" w:ascii="宋体" w:hAnsi="宋体" w:eastAsia="宋体" w:cs="宋体"/>
          <w:color w:val="auto"/>
          <w:sz w:val="24"/>
          <w:highlight w:val="none"/>
        </w:rPr>
        <w:t xml:space="preserve"> </w:t>
      </w:r>
    </w:p>
    <w:tbl>
      <w:tblPr>
        <w:tblStyle w:val="41"/>
        <w:tblpPr w:leftFromText="180" w:rightFromText="180" w:vertAnchor="text" w:horzAnchor="page" w:tblpX="1642" w:tblpY="175"/>
        <w:tblOverlap w:val="never"/>
        <w:tblW w:w="135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3"/>
        <w:gridCol w:w="2182"/>
        <w:gridCol w:w="1890"/>
        <w:gridCol w:w="1110"/>
        <w:gridCol w:w="825"/>
        <w:gridCol w:w="974"/>
        <w:gridCol w:w="1351"/>
        <w:gridCol w:w="1425"/>
        <w:gridCol w:w="1455"/>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 w:hRule="atLeast"/>
        </w:trPr>
        <w:tc>
          <w:tcPr>
            <w:tcW w:w="13585"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b/>
                <w:bCs/>
                <w:i w:val="0"/>
                <w:iCs w:val="0"/>
                <w:color w:val="auto"/>
                <w:kern w:val="0"/>
                <w:sz w:val="28"/>
                <w:szCs w:val="28"/>
                <w:u w:val="none"/>
                <w:lang w:val="en-US" w:eastAsia="zh-CN" w:bidi="ar"/>
              </w:rPr>
            </w:pPr>
            <w:r>
              <w:rPr>
                <w:rFonts w:hint="eastAsia" w:ascii="宋体" w:hAnsi="宋体" w:cs="宋体"/>
                <w:b/>
                <w:bCs/>
                <w:i w:val="0"/>
                <w:iCs w:val="0"/>
                <w:color w:val="auto"/>
                <w:kern w:val="0"/>
                <w:sz w:val="28"/>
                <w:szCs w:val="28"/>
                <w:u w:val="none"/>
                <w:lang w:val="en-US" w:eastAsia="zh-CN" w:bidi="ar"/>
              </w:rPr>
              <w:t>附件一：</w:t>
            </w:r>
            <w:r>
              <w:rPr>
                <w:rFonts w:hint="eastAsia" w:ascii="宋体" w:hAnsi="宋体" w:eastAsia="宋体" w:cs="宋体"/>
                <w:b/>
                <w:bCs/>
                <w:i w:val="0"/>
                <w:iCs w:val="0"/>
                <w:color w:val="auto"/>
                <w:kern w:val="0"/>
                <w:sz w:val="28"/>
                <w:szCs w:val="28"/>
                <w:u w:val="none"/>
                <w:lang w:val="en-US" w:eastAsia="zh-CN" w:bidi="ar"/>
              </w:rPr>
              <w:t>2023年度智能化维养费用清单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2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名称</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规格</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品牌</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单位</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单价</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cs="宋体"/>
                <w:b/>
                <w:bCs/>
                <w:i w:val="0"/>
                <w:iCs w:val="0"/>
                <w:color w:val="auto"/>
                <w:kern w:val="0"/>
                <w:sz w:val="24"/>
                <w:szCs w:val="24"/>
                <w:u w:val="none"/>
                <w:lang w:val="en-US" w:eastAsia="zh-CN" w:bidi="ar"/>
              </w:rPr>
              <w:t>（不含税）</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单价</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cs="宋体"/>
                <w:b/>
                <w:bCs/>
                <w:i w:val="0"/>
                <w:iCs w:val="0"/>
                <w:color w:val="auto"/>
                <w:kern w:val="0"/>
                <w:sz w:val="24"/>
                <w:szCs w:val="24"/>
                <w:u w:val="none"/>
                <w:lang w:val="en-US" w:eastAsia="zh-CN" w:bidi="ar"/>
              </w:rPr>
              <w:t>（含税）</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总价</w:t>
            </w:r>
          </w:p>
          <w:p>
            <w:pPr>
              <w:keepNext w:val="0"/>
              <w:keepLines w:val="0"/>
              <w:widowControl/>
              <w:suppressLineNumbers w:val="0"/>
              <w:jc w:val="center"/>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(不含税）</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总价</w:t>
            </w:r>
          </w:p>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cs="宋体"/>
                <w:b/>
                <w:bCs/>
                <w:i w:val="0"/>
                <w:iCs w:val="0"/>
                <w:color w:val="auto"/>
                <w:kern w:val="0"/>
                <w:sz w:val="24"/>
                <w:szCs w:val="24"/>
                <w:u w:val="none"/>
                <w:lang w:val="en-US" w:eastAsia="zh-CN" w:bidi="ar"/>
              </w:rPr>
              <w:t>(含税）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六类</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五类</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SC25#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RVV4*1.0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PVC阻燃管</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SC32#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台亚</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RVV3*1.5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电源线缆</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RVV3*2.5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上上</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光纤耦合器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SC/FC</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1"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枪机型摄像机支架</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DS-1229</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室外设备箱门锁</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MS309-2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把</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光纤盒</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8口</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 5米)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普天</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12V3A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道闸遥控器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HF401DK</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双基LED拼接屏</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双基色</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百兆网络交换机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TL-SF1005MP</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摄像机专用电源（户外）</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YESTV-P1136 24V3A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HDMI高清线2.0版</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HD104(4K10米)</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5V40A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智能跟踪设备专用电源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JAH-24V 3A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新泰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速通门同步线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SH-S201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速通门门板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60cm*30cm</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国产</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二合一防雷模块</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AJ2C-12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安讯</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光模块</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千兆单模（单/双）芯</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H3C</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28</w:t>
            </w:r>
          </w:p>
        </w:tc>
        <w:tc>
          <w:tcPr>
            <w:tcW w:w="2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二合一防雷模块</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AJ2C-12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博莱斯</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室外专用馈线AP防雷器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KLF-X-N</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凯利锋</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300*250*160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w:t>
            </w:r>
          </w:p>
        </w:tc>
        <w:tc>
          <w:tcPr>
            <w:tcW w:w="21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AC250V/DC12V10A</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300*400*280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集中供电电源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AC250V/DC24V10A</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明纬</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集中供电电源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AC250V/DC12V10A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SHOONIS</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机箱电源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大水牛</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千兆网络交换机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TL-SF1009MP</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千兆光纤收发器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TL-FC311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控制机箱电源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DY12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威耕</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模独立型百兆单模单纤双向光纤收发器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TL-FC111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普联</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对</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室内外防水音柱</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DSP 208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处理器网口接线板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BQ-RJ02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RG-ES209GC-P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不锈钢护栏</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SU304</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定制</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智能跟踪球机电路主板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D-TSC-HH200-18</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智能多目标跟踪广角摄像机电路主板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WAC-1080P-BY2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红外半球摄像头</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DS-2CD3145FDV2-I</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巡更棒</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LDH-T68-2</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乐德华</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环网式以太网交换机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3D226F-A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网络高清摄像机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DS-2CD4220XYZ-A</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网络高清半球摄像机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DS-IPC-T12-I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16口千兆网络交换机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S1700-16G</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华为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LED液晶拼接屏电源</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JH-D46DLS-01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网络高清球型摄像机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DS-2DF7286-A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双门控制器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DS-K2601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吸顶AP</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三辊闸电路主板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德国卡巴</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KABA</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多目标智能跟踪处理器电路主板</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E900-P31200W</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路由器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RG-EG105GW</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锐捷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62</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球机转轴电机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BQ-150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12V100AH蓄电池</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C12-100阀控式密封铅酸蓄电池</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网络高清枪式摄像机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DS-2CD4824FWD-IZ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迪士普功放</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MP600PIII 250w</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迪士普</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固定IP专网路由器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TL-ER6120G</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普联</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速通门控制器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CDSLVC101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中捷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IOT硬盘（企业级）</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8TB</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身份验证模块</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智能球机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DS-2DC7223IW</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套</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多目标跟踪-枪式摄像机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博聪WAC-1080P-BY2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74</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信息化网-交换机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RG-NBS5200-24GT4XS</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75</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46液晶显示器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JH-D463LL</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嘉河</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76</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核心交换机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RG-NBS5750-28GT4XS-E </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锐捷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多目标跟踪-球式摄像机</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博聪D-TSC-HH200-18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博聪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78</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32路视路存储，16盘位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79</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存储服务器</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128路视路存储，24盘位</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人脸识别模块</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Qpzoon汉柏2代</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汉柏</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81</w:t>
            </w:r>
          </w:p>
        </w:tc>
        <w:tc>
          <w:tcPr>
            <w:tcW w:w="60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合计</w:t>
            </w:r>
            <w:r>
              <w:rPr>
                <w:rFonts w:hint="eastAsia" w:ascii="宋体" w:hAnsi="宋体" w:cs="宋体"/>
                <w:i w:val="0"/>
                <w:iCs w:val="0"/>
                <w:color w:val="auto"/>
                <w:kern w:val="0"/>
                <w:sz w:val="22"/>
                <w:szCs w:val="22"/>
                <w:u w:val="none"/>
                <w:lang w:val="en-US" w:eastAsia="zh-CN" w:bidi="ar"/>
              </w:rPr>
              <w:t>（元）</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w:t>
            </w:r>
          </w:p>
        </w:tc>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bl>
    <w:p>
      <w:pPr>
        <w:spacing w:line="380" w:lineRule="exact"/>
        <w:rPr>
          <w:rFonts w:hint="eastAsia" w:ascii="宋体" w:hAnsi="宋体" w:eastAsia="宋体" w:cs="宋体"/>
          <w:color w:val="auto"/>
          <w:sz w:val="24"/>
          <w:highlight w:val="none"/>
        </w:rPr>
      </w:pPr>
    </w:p>
    <w:p>
      <w:pPr>
        <w:spacing w:line="360" w:lineRule="auto"/>
        <w:rPr>
          <w:rFonts w:hint="eastAsia" w:ascii="宋体" w:hAnsi="宋体"/>
          <w:b/>
          <w:color w:val="auto"/>
          <w:sz w:val="24"/>
          <w:highlight w:val="none"/>
        </w:rPr>
      </w:pPr>
      <w:r>
        <w:rPr>
          <w:rFonts w:hint="eastAsia" w:ascii="宋体" w:hAnsi="宋体" w:cs="宋体"/>
          <w:b/>
          <w:bCs/>
          <w:color w:val="auto"/>
          <w:sz w:val="24"/>
        </w:rPr>
        <w:t>备注：</w:t>
      </w:r>
      <w:r>
        <w:rPr>
          <w:rFonts w:hint="eastAsia" w:ascii="宋体" w:hAnsi="宋体" w:cs="宋体"/>
          <w:b/>
          <w:bCs/>
          <w:color w:val="auto"/>
          <w:sz w:val="24"/>
          <w:szCs w:val="24"/>
          <w:highlight w:val="none"/>
        </w:rPr>
        <w:t>工程量</w:t>
      </w:r>
      <w:r>
        <w:rPr>
          <w:rFonts w:hint="eastAsia" w:ascii="宋体" w:hAnsi="宋体"/>
          <w:b/>
          <w:color w:val="auto"/>
          <w:sz w:val="24"/>
          <w:highlight w:val="none"/>
        </w:rPr>
        <w:t>清单中为预估工程量。采购人将</w:t>
      </w:r>
      <w:r>
        <w:rPr>
          <w:rFonts w:hint="eastAsia" w:ascii="宋体" w:hAnsi="宋体"/>
          <w:b/>
          <w:color w:val="auto"/>
          <w:sz w:val="24"/>
          <w:highlight w:val="none"/>
          <w:lang w:val="en-US" w:eastAsia="zh-CN"/>
        </w:rPr>
        <w:t>根据中标单位所报单价</w:t>
      </w:r>
      <w:r>
        <w:rPr>
          <w:rFonts w:hint="eastAsia" w:ascii="宋体" w:hAnsi="宋体"/>
          <w:b/>
          <w:color w:val="auto"/>
          <w:sz w:val="24"/>
          <w:highlight w:val="none"/>
        </w:rPr>
        <w:t>据实结算。</w:t>
      </w:r>
    </w:p>
    <w:p>
      <w:pPr>
        <w:pStyle w:val="2"/>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tabs>
          <w:tab w:val="left" w:pos="9000"/>
          <w:tab w:val="left" w:pos="13000"/>
        </w:tabs>
        <w:spacing w:line="360" w:lineRule="auto"/>
        <w:ind w:right="-71" w:firstLine="7440" w:firstLineChars="3100"/>
        <w:rPr>
          <w:rFonts w:hint="eastAsia" w:ascii="宋体" w:hAnsi="宋体"/>
          <w:color w:val="auto"/>
          <w:sz w:val="24"/>
          <w:highlight w:val="none"/>
        </w:rPr>
      </w:pPr>
      <w:r>
        <w:rPr>
          <w:rFonts w:hint="eastAsia" w:ascii="宋体" w:hAnsi="宋体"/>
          <w:color w:val="auto"/>
          <w:sz w:val="24"/>
          <w:highlight w:val="none"/>
        </w:rPr>
        <w:t>投标人名称（加盖投标人公章）：</w:t>
      </w:r>
      <w:r>
        <w:rPr>
          <w:rFonts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ascii="宋体" w:hAnsi="宋体"/>
          <w:color w:val="auto"/>
          <w:sz w:val="24"/>
          <w:highlight w:val="none"/>
          <w:u w:val="single"/>
        </w:rPr>
        <w:t xml:space="preserve">　 </w:t>
      </w:r>
      <w:r>
        <w:rPr>
          <w:rFonts w:ascii="宋体" w:hAnsi="宋体"/>
          <w:color w:val="auto"/>
          <w:sz w:val="24"/>
          <w:highlight w:val="none"/>
        </w:rPr>
        <w:t xml:space="preserve">          　　　　　　　　  　　　　　　　　　</w:t>
      </w:r>
    </w:p>
    <w:p>
      <w:pPr>
        <w:tabs>
          <w:tab w:val="left" w:pos="9000"/>
          <w:tab w:val="left" w:pos="13000"/>
        </w:tabs>
        <w:spacing w:line="360" w:lineRule="auto"/>
        <w:ind w:right="-71" w:firstLine="7440" w:firstLineChars="3100"/>
        <w:rPr>
          <w:rFonts w:hint="eastAsia" w:ascii="宋体" w:hAnsi="宋体"/>
          <w:color w:val="auto"/>
          <w:sz w:val="24"/>
          <w:highlight w:val="none"/>
        </w:rPr>
      </w:pPr>
      <w:r>
        <w:rPr>
          <w:rFonts w:hint="eastAsia" w:ascii="宋体" w:hAnsi="宋体"/>
          <w:color w:val="auto"/>
          <w:sz w:val="24"/>
          <w:highlight w:val="none"/>
        </w:rPr>
        <w:t>投标人代表（签名）：</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p>
    <w:p>
      <w:pPr>
        <w:tabs>
          <w:tab w:val="left" w:pos="13000"/>
        </w:tabs>
        <w:spacing w:beforeLines="-2147483648" w:afterLines="-2147483648" w:line="360" w:lineRule="auto"/>
        <w:jc w:val="center"/>
        <w:rPr>
          <w:rFonts w:hint="eastAsia" w:ascii="宋体" w:hAnsi="宋体"/>
          <w:color w:val="auto"/>
          <w:sz w:val="24"/>
          <w:highlight w:val="none"/>
          <w:lang w:val="en-US" w:eastAsia="zh-CN"/>
        </w:rPr>
      </w:pPr>
      <w:r>
        <w:rPr>
          <w:rFonts w:hint="eastAsia" w:ascii="宋体" w:hAnsi="宋体"/>
          <w:color w:val="auto"/>
          <w:sz w:val="24"/>
          <w:highlight w:val="none"/>
          <w:lang w:val="en-US" w:eastAsia="zh-CN"/>
        </w:rPr>
        <w:t xml:space="preserve">               </w:t>
      </w:r>
    </w:p>
    <w:p>
      <w:pPr>
        <w:tabs>
          <w:tab w:val="left" w:pos="13000"/>
        </w:tabs>
        <w:spacing w:beforeLines="-2147483648" w:afterLines="-2147483648" w:line="360" w:lineRule="auto"/>
        <w:jc w:val="center"/>
        <w:rPr>
          <w:rFonts w:hint="eastAsia" w:ascii="宋体" w:hAnsi="宋体"/>
          <w:b/>
          <w:bCs/>
          <w:color w:val="auto"/>
          <w:sz w:val="30"/>
          <w:szCs w:val="32"/>
          <w:lang w:val="en-US" w:eastAsia="zh-CN"/>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日期：     　年    月    日</w:t>
      </w:r>
    </w:p>
    <w:bookmarkEnd w:id="201"/>
    <w:p>
      <w:pPr>
        <w:rPr>
          <w:rFonts w:hint="eastAsia" w:ascii="宋体" w:hAnsi="宋体" w:eastAsia="宋体" w:cs="宋体"/>
          <w:color w:val="auto"/>
          <w:highlight w:val="none"/>
        </w:rPr>
      </w:pPr>
      <w:bookmarkStart w:id="202" w:name="_Toc266084869"/>
      <w:bookmarkStart w:id="203" w:name="_Toc35356998"/>
      <w:bookmarkStart w:id="204" w:name="_Toc374971685"/>
    </w:p>
    <w:p>
      <w:pPr>
        <w:pStyle w:val="2"/>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tbl>
      <w:tblPr>
        <w:tblStyle w:val="41"/>
        <w:tblW w:w="1396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7"/>
        <w:gridCol w:w="1130"/>
        <w:gridCol w:w="618"/>
        <w:gridCol w:w="740"/>
        <w:gridCol w:w="7028"/>
        <w:gridCol w:w="1245"/>
        <w:gridCol w:w="1185"/>
        <w:gridCol w:w="1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18" w:hRule="atLeast"/>
        </w:trPr>
        <w:tc>
          <w:tcPr>
            <w:tcW w:w="1396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2"/>
                <w:szCs w:val="22"/>
                <w:u w:val="none"/>
                <w:lang w:val="en-US"/>
              </w:rPr>
            </w:pPr>
            <w:r>
              <w:rPr>
                <w:rFonts w:hint="eastAsia" w:ascii="仿宋_GB2312" w:hAnsi="仿宋" w:eastAsia="仿宋_GB2312"/>
                <w:b/>
                <w:bCs w:val="0"/>
                <w:color w:val="auto"/>
                <w:sz w:val="30"/>
                <w:szCs w:val="30"/>
                <w:lang w:val="en-US" w:eastAsia="zh-CN"/>
              </w:rPr>
              <w:t>附件二：</w:t>
            </w:r>
            <w:r>
              <w:rPr>
                <w:rFonts w:hint="eastAsia" w:ascii="仿宋_GB2312" w:hAnsi="仿宋" w:eastAsia="仿宋_GB2312"/>
                <w:b/>
                <w:bCs w:val="0"/>
                <w:color w:val="auto"/>
                <w:sz w:val="30"/>
                <w:szCs w:val="30"/>
              </w:rPr>
              <w:t>智能化设施维修保养标准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编号</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设备/系统名称</w:t>
            </w:r>
          </w:p>
        </w:tc>
        <w:tc>
          <w:tcPr>
            <w:tcW w:w="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单位</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数量</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服务内容</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2"/>
                <w:sz w:val="22"/>
                <w:szCs w:val="22"/>
                <w:u w:val="none"/>
                <w:lang w:val="en-US" w:eastAsia="zh-CN" w:bidi="ar-SA"/>
              </w:rPr>
            </w:pPr>
            <w:r>
              <w:rPr>
                <w:rFonts w:hint="eastAsia" w:ascii="宋体" w:hAnsi="宋体" w:eastAsia="宋体" w:cs="宋体"/>
                <w:b/>
                <w:bCs/>
                <w:i w:val="0"/>
                <w:iCs w:val="0"/>
                <w:color w:val="auto"/>
                <w:kern w:val="0"/>
                <w:sz w:val="22"/>
                <w:szCs w:val="22"/>
                <w:u w:val="none"/>
                <w:lang w:val="en-US" w:eastAsia="zh-CN" w:bidi="ar"/>
              </w:rPr>
              <w:t>保养频率</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b/>
                <w:bCs/>
                <w:lang w:val="en-US" w:eastAsia="zh-CN"/>
              </w:rPr>
            </w:pPr>
            <w:r>
              <w:rPr>
                <w:rFonts w:hint="eastAsia"/>
                <w:b/>
                <w:bCs/>
                <w:lang w:val="en-US" w:eastAsia="zh-CN"/>
              </w:rPr>
              <w:t>报价</w:t>
            </w:r>
          </w:p>
          <w:p>
            <w:pPr>
              <w:pStyle w:val="2"/>
              <w:ind w:firstLine="0" w:firstLineChars="0"/>
              <w:rPr>
                <w:rFonts w:hint="default"/>
                <w:b/>
                <w:bCs/>
                <w:lang w:val="en-US" w:eastAsia="zh-CN"/>
              </w:rPr>
            </w:pPr>
            <w:r>
              <w:rPr>
                <w:rFonts w:hint="eastAsia" w:ascii="宋体" w:hAnsi="宋体" w:cs="宋体"/>
                <w:b/>
                <w:bCs/>
                <w:i w:val="0"/>
                <w:iCs w:val="0"/>
                <w:color w:val="auto"/>
                <w:kern w:val="0"/>
                <w:sz w:val="22"/>
                <w:szCs w:val="22"/>
                <w:u w:val="none"/>
                <w:lang w:val="en-US" w:eastAsia="zh-CN" w:bidi="ar"/>
              </w:rPr>
              <w:t>(不含税）</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b/>
                <w:bCs/>
                <w:lang w:val="en-US" w:eastAsia="zh-CN"/>
              </w:rPr>
            </w:pPr>
            <w:r>
              <w:rPr>
                <w:rFonts w:hint="eastAsia"/>
                <w:b/>
                <w:bCs/>
                <w:lang w:val="en-US" w:eastAsia="zh-CN"/>
              </w:rPr>
              <w:t>报价</w:t>
            </w:r>
          </w:p>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cs="宋体"/>
                <w:b/>
                <w:bCs/>
                <w:i w:val="0"/>
                <w:iCs w:val="0"/>
                <w:color w:val="auto"/>
                <w:kern w:val="0"/>
                <w:sz w:val="22"/>
                <w:szCs w:val="22"/>
                <w:u w:val="none"/>
                <w:lang w:val="en-US" w:eastAsia="zh-CN" w:bidi="ar"/>
              </w:rPr>
              <w:t>(含税）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软件系统（智能申报系统、码头信息化管理平台、游艇港比对系统）</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要求所有服务器端和客户端的软件无卡机和假运行现象；包括对磁盘空间、系统日志、系统资源占用、访问性能等的检查；</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检查信息化平台与智能申报系统、游艇港比对系统各数据交互是否正常，各子系统与终端设备（闸机、自助机、航班显示与广播）硬件数据交互与控制是否正常、流畅；</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每月对业务数据和配置信息进行备份。定期检查备份数据是否安全可用；</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对病毒的监控、查杀及病毒防弹软件的升级：每月对病毒库进行升级，当有新的病毒出现时，随时升级。严禁发生病毒侵入或带入快速路内部网络；</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检查系统通过第三方接口与公安数据传输，包含Web Service、Socket、Web Api等多方式是否正常；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检查信息化平台与“游艇云售票系统”排班系统传输是否正常，数据链入有无丢包现象；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检查系统通过第三方接口与“游艇云票务系统平台”传输，包含Web Service、Socket、Web Api等是否正常；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检查系统通过第三方接口与“湖里公安分局视频联网”部分视频共享传输，包含Web Service、Socket、Web Api等是否正常；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备份并清理日志记录，避免发生磁盘空间溢出；包括对磁盘空间、系统日志、系统资源占用、访问性能等的检查；</w:t>
            </w:r>
          </w:p>
        </w:tc>
        <w:tc>
          <w:tcPr>
            <w:tcW w:w="124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季度</w:t>
            </w:r>
          </w:p>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c>
          <w:tcPr>
            <w:tcW w:w="118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c>
          <w:tcPr>
            <w:tcW w:w="14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2"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软件的安全级别符合《计算机信息系统安全保护等级划分准则》(GB17859)的有关规定。定期换系统密码，定期核准用户权限，防止系统出现越权访问。定期进行IP地址测试，检测非法用户，防止非法用户入侵；</w:t>
            </w:r>
          </w:p>
        </w:tc>
        <w:tc>
          <w:tcPr>
            <w:tcW w:w="124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18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c>
          <w:tcPr>
            <w:tcW w:w="144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针对现有网络进行整体性能评估，并针对网络的利用率进行优化及提出网络扩容和优化的建议；</w:t>
            </w:r>
          </w:p>
        </w:tc>
        <w:tc>
          <w:tcPr>
            <w:tcW w:w="1245"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液晶显示拼接屏 </w:t>
            </w:r>
            <w:r>
              <w:rPr>
                <w:rStyle w:val="117"/>
                <w:color w:val="auto"/>
                <w:lang w:val="en-US" w:eastAsia="zh-CN" w:bidi="ar"/>
              </w:rPr>
              <w:t xml:space="preserve">          （9块47寸)</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检查显示屏散热是否正常，有无过热现象，供电模块电压是否正常，有无电流声现象；</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检查解码器与综合安防平台通讯是否正常，有无掉线现象；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检查电解码器与显示屏的线路联接是否正常，有无松动现象；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定期清洁液晶拼接大屏的灰尘；</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检查显示屏是否在最佳状态并调整显示器参数并检查显示画面是否清晰，有无漏液、条纹干扰现象；</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季度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检查LED灯管、模块、模组点亮是否正常，排线有无松动现象；电源供电电压是否在有效值，各接线端子有无松动现象；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控制卡与模组连接线是否有松动现象，与客户端系统通讯是否正常，安装是否牢靠；</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检查显示屏电源、高清信号线、控制电缆及各紧固件是否是有松动现象；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网络高清监控</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检查摄像机设机械联接处，线路中间处是否有破裂、接断现象；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检查前端至汇聚，汇聚至中心核心数据交换传输是否有数据丢包现象，网络RJ45是否有松动脱落及氧化现象；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检查视频存储服务器录像存储是否正常；存储硬盘是否损坏或出现坏道现象，并记录坏道的损坏情况；</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主辅跟踪监控系统</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检查各系统供电电源电压、电流是否正常；</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检查前端摄像机镜面是否脏污，摄像机各设定参数（焦距、光圈、OSD字符等）是否处于最佳状态，多目标跟踪处理器动态目标捕捉位置是否精准；</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检查处理器与视频监控平台传输是否正常，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检查枪机球机联动功能是否正常，是否有数据丢包现象，网络RJ45是否有松动脱落及氧化现象；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检查设备安装是否坚固，摄像机、支撑杆、地脚螺栓等是否松动，避雷针接地良好；</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对室外摄像系统的铁件部分、监控杆刷防锈漆，对避雷针刷导电油漆（银粉），保持外观洁净，无锈蚀。</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帆船票务排班叫号功放喇叭等</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检查系统设备的面板或指示灯的显示情况是否正常，针对故障设备进行本设备电源、音频信号输入/输出、控制信号输入/输出、接插件、同类设备替换等检查，找出系统故障的部位。</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检查航班前置服务器与信息化平台联网是否正常，信息化平台航班数据下发至航班服务器是否流畅，有无丢包现象；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应对设备供电系统进行检测，检测所有设备的电源线是否都已正确连接，以保证设备的供电系统稳定正常运行。</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应对设备进行检测，检查设备是否正常运行，功能是否正常，所有的信号源间的信号线是否正确连接。</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应对扬声器线路进行检测，通过历史记录对其外部回路进行分析，常规系使用检测工具对线路进行检测。</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检查显示屏显示是否正常，有无偏色、条纹干扰等现象；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检查前端喇叭设备固定是否完好，有无脱落现象；检查各喇叭音源输出是否正常，有无杂声，电流声等情况；检查前端喇叭连接线是否有松动现象。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清洁设备包含机柜、终端、功放、显示屏、数据交换机等灰尘。</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道闸（三锟闸5套、速通门6套）</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检查人脸识别终端、通道闸机是否沾污，定期抹除清理设备积尘；</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检查人脸识别终端联网状态是否良好，控制主板开关量输出信号，数据有无丢包、下发是否有延迟现象；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检查人脸识别终端触摸屏是否正常，外壳及屏体是否遭到损坏，支架及螺丝是否有松动迹象；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闸机内外除尘、清洁</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机芯、机械活动链接结构润滑保养，闸机偏移、翼闸开门偏移、摆臂矫正；</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紧固控制主板及接线端子；</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更换老化破损线缆。</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机房</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核验机房温湿度、通风性、密封性是否满足设备运行环境，如未则向业主提出改进方案</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季度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更换变形或磨损较大的静电地板，防堵桥架洞口、紧固松动桥架盖。</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检查电线电缆是否磨损破皮。</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网络机柜</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更换/维修机柜故障锁、门，加固安装机柜不晃动。</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网关、交换机校验转发数据、性能、扇热是否正常，设备固定带宽是否满足实际运行带宽。</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核实机柜所有设备功率，更换相匹配的空气开关或有故障的空气开关；供电线缆是否完好及线径是否匹配输出功率，如未则更换相匹配线缆。加固开关接线紧固</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4"/>
                <w:szCs w:val="24"/>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定期擦除机柜、设备灰尘。</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防水设备箱</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更换/维修故障设备箱锁、门；更换生锈严重的设备箱或固定件；裸露螺丝进行防锈处理；掉漆部分进行喷漆处理；防堵进水口；疏通通风口；</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w:t>
            </w:r>
            <w:r>
              <w:rPr>
                <w:rFonts w:hint="eastAsia" w:ascii="宋体" w:hAnsi="宋体" w:eastAsia="宋体" w:cs="宋体"/>
                <w:i w:val="0"/>
                <w:iCs w:val="0"/>
                <w:color w:val="auto"/>
                <w:kern w:val="0"/>
                <w:sz w:val="22"/>
                <w:szCs w:val="22"/>
                <w:u w:val="none"/>
                <w:lang w:val="en-US" w:eastAsia="zh-CN" w:bidi="ar"/>
              </w:rPr>
              <w:t>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优化设备运行温度、散热，使安装松动、接线松动更加牢固</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更换光纤/网线跳线有弯折、护套破损的线缆，更换不清晰或脱落的标签；线缆整理</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更换有故障的空气开关；供电线缆是否完好。加固开关接线紧固</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定期擦除设备箱灰尘、设备灰尘。</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UPS不间断电源</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检查主机运行状态是否正常，有无报警现象，并查看主机输入及输出各项指标是否正常（电压、电流、频率），三相输出电流是否在平衡状态。</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检查电池各连接线是否接触是否良好，有无松动现象，各接点是否有过热现象；电池是否出现漏液现象，并对电池进行定期的充放电测试。</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检查各电源接头是否在松动、脱落现象；检查UPS配电系统线路，是否存在动物破坏、人为损坏现象；电源各接驳点温度是否有发热现象。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检查设备保护接地与设备缘接点是否良好；定期测试电气连接接地阻值；对防雷器工作状态进宪检查，并测度各项性能是否满足需求。</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检查UPS配电箱内各元器件是否有松动现象，供电电压是否正常，断路器机械性能及电流通断是否满足使用要求；检查智能电表、电流互感器各项参数据是否正常。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检查记录各相电压负载情况；查清各参数是否配置正确；断电进行UPS功能测试；</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UPS电池柜定期擦拭、除尘等卫生维护</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安检设备</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定期对安检门、X光机除尘保养</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定期检查安检门及X光机运行状况、设备内部线路，X-射线、风扇运行、传送装置等是否正常</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巡更系统</w:t>
            </w:r>
          </w:p>
        </w:tc>
        <w:tc>
          <w:tcPr>
            <w:tcW w:w="6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检查软件系统启动、运行是否正常；设备接入数据接入拷贝是否正常，系统软件各功能模块运行是否正常。</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月度</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检查巡更棒外观是否有损坏现象、充电状态是否正常，各数据电源接口是否有损坏现象。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u w:val="none"/>
              </w:rPr>
            </w:pPr>
          </w:p>
        </w:tc>
        <w:tc>
          <w:tcPr>
            <w:tcW w:w="6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2"/>
                <w:szCs w:val="22"/>
                <w:u w:val="none"/>
              </w:rPr>
            </w:pPr>
          </w:p>
        </w:tc>
        <w:tc>
          <w:tcPr>
            <w:tcW w:w="7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检查各巡更点是否损坏，有无损坏、脱落现象。</w:t>
            </w: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1009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维护费小计</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项</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1133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cs="宋体"/>
                <w:i w:val="0"/>
                <w:iCs w:val="0"/>
                <w:color w:val="auto"/>
                <w:sz w:val="22"/>
                <w:szCs w:val="22"/>
                <w:u w:val="none"/>
                <w:lang w:val="en-US" w:eastAsia="zh-CN"/>
              </w:rPr>
            </w:pPr>
            <w:r>
              <w:rPr>
                <w:rFonts w:hint="eastAsia" w:ascii="宋体" w:hAnsi="宋体" w:cs="宋体"/>
                <w:b/>
                <w:bCs/>
                <w:i w:val="0"/>
                <w:iCs w:val="0"/>
                <w:color w:val="auto"/>
                <w:kern w:val="0"/>
                <w:sz w:val="22"/>
                <w:szCs w:val="22"/>
                <w:u w:val="none"/>
                <w:lang w:val="en-US" w:eastAsia="zh-CN" w:bidi="ar"/>
              </w:rPr>
              <w:t>合计（元）</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bl>
    <w:p>
      <w:pPr>
        <w:tabs>
          <w:tab w:val="left" w:pos="9000"/>
          <w:tab w:val="left" w:pos="13000"/>
        </w:tabs>
        <w:spacing w:line="360" w:lineRule="auto"/>
        <w:ind w:left="0" w:leftChars="0" w:right="-71" w:firstLine="0" w:firstLineChars="0"/>
        <w:rPr>
          <w:rFonts w:hint="eastAsia" w:ascii="宋体" w:hAnsi="宋体"/>
          <w:color w:val="auto"/>
          <w:sz w:val="24"/>
          <w:highlight w:val="none"/>
        </w:rPr>
      </w:pPr>
    </w:p>
    <w:p>
      <w:pPr>
        <w:tabs>
          <w:tab w:val="left" w:pos="9000"/>
          <w:tab w:val="left" w:pos="13000"/>
        </w:tabs>
        <w:spacing w:line="360" w:lineRule="auto"/>
        <w:ind w:left="840" w:leftChars="0" w:right="-71" w:firstLine="5918" w:firstLineChars="2466"/>
        <w:rPr>
          <w:rFonts w:hint="eastAsia" w:ascii="宋体" w:hAnsi="宋体"/>
          <w:color w:val="auto"/>
          <w:sz w:val="24"/>
          <w:highlight w:val="none"/>
        </w:rPr>
      </w:pPr>
      <w:r>
        <w:rPr>
          <w:rFonts w:hint="eastAsia" w:ascii="宋体" w:hAnsi="宋体"/>
          <w:color w:val="auto"/>
          <w:sz w:val="24"/>
          <w:highlight w:val="none"/>
        </w:rPr>
        <w:t>投标人名称（加盖投标人公章）：</w:t>
      </w:r>
      <w:r>
        <w:rPr>
          <w:rFonts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ascii="宋体" w:hAnsi="宋体"/>
          <w:color w:val="auto"/>
          <w:sz w:val="24"/>
          <w:highlight w:val="none"/>
          <w:u w:val="single"/>
        </w:rPr>
        <w:t xml:space="preserve">　 </w:t>
      </w:r>
      <w:r>
        <w:rPr>
          <w:rFonts w:ascii="宋体" w:hAnsi="宋体"/>
          <w:color w:val="auto"/>
          <w:sz w:val="24"/>
          <w:highlight w:val="none"/>
        </w:rPr>
        <w:t xml:space="preserve">          　　　　　　　　  　　　　　　　　　</w:t>
      </w:r>
    </w:p>
    <w:p>
      <w:pPr>
        <w:tabs>
          <w:tab w:val="left" w:pos="9000"/>
          <w:tab w:val="left" w:pos="13000"/>
        </w:tabs>
        <w:spacing w:line="360" w:lineRule="auto"/>
        <w:ind w:left="840" w:leftChars="0" w:right="-71" w:firstLine="5918" w:firstLineChars="2466"/>
        <w:rPr>
          <w:rFonts w:hint="eastAsia" w:ascii="宋体" w:hAnsi="宋体"/>
          <w:color w:val="auto"/>
          <w:sz w:val="24"/>
          <w:highlight w:val="none"/>
        </w:rPr>
      </w:pPr>
      <w:r>
        <w:rPr>
          <w:rFonts w:hint="eastAsia" w:ascii="宋体" w:hAnsi="宋体"/>
          <w:color w:val="auto"/>
          <w:sz w:val="24"/>
          <w:highlight w:val="none"/>
        </w:rPr>
        <w:t>投标人代表（签名）：</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p>
    <w:p>
      <w:pPr>
        <w:tabs>
          <w:tab w:val="left" w:pos="13000"/>
        </w:tabs>
        <w:spacing w:line="360" w:lineRule="auto"/>
        <w:ind w:left="4200" w:leftChars="0" w:firstLine="420" w:firstLineChars="0"/>
        <w:rPr>
          <w:rFonts w:hint="eastAsia" w:ascii="宋体" w:hAnsi="宋体"/>
          <w:color w:val="auto"/>
          <w:sz w:val="24"/>
          <w:highlight w:val="none"/>
        </w:rPr>
      </w:pPr>
      <w:r>
        <w:rPr>
          <w:rFonts w:hint="eastAsia" w:ascii="宋体" w:hAnsi="宋体"/>
          <w:color w:val="auto"/>
          <w:sz w:val="24"/>
          <w:highlight w:val="none"/>
        </w:rPr>
        <w:t xml:space="preserve">                                  日期：     　年    月    日</w:t>
      </w:r>
    </w:p>
    <w:p>
      <w:pPr>
        <w:spacing w:line="520" w:lineRule="exact"/>
        <w:ind w:left="4200" w:leftChars="0" w:firstLine="420" w:firstLineChars="0"/>
        <w:jc w:val="center"/>
        <w:rPr>
          <w:rFonts w:hint="eastAsia" w:ascii="宋体" w:hAnsi="宋体" w:eastAsia="宋体" w:cs="宋体"/>
          <w:b/>
          <w:color w:val="auto"/>
          <w:sz w:val="32"/>
          <w:szCs w:val="32"/>
          <w:highlight w:val="none"/>
        </w:rPr>
        <w:sectPr>
          <w:pgSz w:w="16838" w:h="11900" w:orient="landscape"/>
          <w:pgMar w:top="1417" w:right="1440" w:bottom="1417" w:left="1440" w:header="0" w:footer="850" w:gutter="0"/>
          <w:pgNumType w:fmt="decimal"/>
          <w:cols w:space="720" w:num="1"/>
          <w:docGrid w:linePitch="360" w:charSpace="0"/>
        </w:sectPr>
      </w:pPr>
    </w:p>
    <w:bookmarkEnd w:id="202"/>
    <w:bookmarkEnd w:id="203"/>
    <w:bookmarkEnd w:id="204"/>
    <w:p>
      <w:pPr>
        <w:spacing w:line="360" w:lineRule="auto"/>
        <w:jc w:val="center"/>
        <w:rPr>
          <w:rFonts w:ascii="宋体" w:hAnsi="宋体" w:cs="宋体"/>
          <w:b/>
          <w:color w:val="auto"/>
          <w:sz w:val="28"/>
          <w:szCs w:val="28"/>
        </w:rPr>
      </w:pPr>
      <w:bookmarkStart w:id="205" w:name="_Toc185762842"/>
      <w:bookmarkStart w:id="206" w:name="_Toc286840568"/>
      <w:bookmarkStart w:id="207" w:name="_Toc187142869"/>
      <w:bookmarkStart w:id="208" w:name="_Toc363564762"/>
      <w:bookmarkStart w:id="209" w:name="_Toc374971688"/>
      <w:r>
        <w:rPr>
          <w:rFonts w:hint="eastAsia" w:ascii="宋体" w:hAnsi="宋体" w:cs="宋体"/>
          <w:b/>
          <w:color w:val="auto"/>
          <w:sz w:val="28"/>
          <w:szCs w:val="28"/>
          <w:lang w:val="en-US" w:eastAsia="zh-CN"/>
        </w:rPr>
        <w:t>4.</w:t>
      </w:r>
      <w:r>
        <w:rPr>
          <w:rFonts w:hint="eastAsia" w:ascii="宋体" w:hAnsi="宋体" w:cs="宋体"/>
          <w:b/>
          <w:color w:val="auto"/>
          <w:sz w:val="28"/>
          <w:szCs w:val="28"/>
        </w:rPr>
        <w:t>维护保养方案</w:t>
      </w:r>
    </w:p>
    <w:p>
      <w:pPr>
        <w:spacing w:line="360" w:lineRule="auto"/>
        <w:ind w:firstLine="4200" w:firstLineChars="1750"/>
        <w:rPr>
          <w:rFonts w:ascii="宋体" w:hAnsi="宋体" w:cs="宋体"/>
          <w:color w:val="auto"/>
          <w:sz w:val="24"/>
        </w:rPr>
      </w:pPr>
    </w:p>
    <w:p>
      <w:pPr>
        <w:spacing w:line="360" w:lineRule="auto"/>
        <w:jc w:val="center"/>
        <w:rPr>
          <w:rFonts w:ascii="宋体" w:hAnsi="宋体" w:cs="宋体"/>
          <w:color w:val="auto"/>
          <w:sz w:val="24"/>
        </w:rPr>
      </w:pPr>
      <w:r>
        <w:rPr>
          <w:rFonts w:hint="eastAsia" w:ascii="宋体" w:hAnsi="宋体" w:cs="宋体"/>
          <w:color w:val="auto"/>
          <w:sz w:val="24"/>
        </w:rPr>
        <w:t>（投标人根据自身情况自拟）</w:t>
      </w: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spacing w:line="360" w:lineRule="auto"/>
        <w:jc w:val="center"/>
        <w:rPr>
          <w:rFonts w:ascii="宋体" w:hAnsi="宋体" w:cs="宋体"/>
          <w:b/>
          <w:color w:val="auto"/>
          <w:sz w:val="28"/>
          <w:szCs w:val="28"/>
        </w:rPr>
      </w:pPr>
      <w:r>
        <w:rPr>
          <w:rFonts w:hint="eastAsia" w:ascii="宋体" w:hAnsi="宋体" w:cs="宋体"/>
          <w:color w:val="auto"/>
          <w:sz w:val="24"/>
          <w:u w:val="single"/>
        </w:rPr>
        <w:br w:type="page"/>
      </w:r>
      <w:r>
        <w:rPr>
          <w:rFonts w:hint="eastAsia" w:ascii="宋体" w:hAnsi="宋体" w:cs="宋体"/>
          <w:b/>
          <w:color w:val="auto"/>
          <w:sz w:val="28"/>
          <w:szCs w:val="28"/>
          <w:lang w:val="en-US" w:eastAsia="zh-CN"/>
        </w:rPr>
        <w:t>5.</w:t>
      </w:r>
      <w:r>
        <w:rPr>
          <w:rFonts w:hint="eastAsia" w:ascii="宋体" w:hAnsi="宋体" w:cs="宋体"/>
          <w:b/>
          <w:color w:val="auto"/>
          <w:sz w:val="28"/>
          <w:szCs w:val="28"/>
        </w:rPr>
        <w:t>服务人员情况</w:t>
      </w:r>
    </w:p>
    <w:p>
      <w:pPr>
        <w:spacing w:line="360" w:lineRule="auto"/>
        <w:ind w:firstLine="480" w:firstLineChars="200"/>
        <w:rPr>
          <w:rFonts w:ascii="宋体" w:hAnsi="宋体" w:cs="宋体"/>
          <w:color w:val="auto"/>
          <w:sz w:val="24"/>
          <w:szCs w:val="32"/>
        </w:rPr>
      </w:pPr>
      <w:r>
        <w:rPr>
          <w:rFonts w:hint="eastAsia" w:ascii="宋体" w:hAnsi="宋体" w:cs="宋体"/>
          <w:color w:val="auto"/>
          <w:sz w:val="24"/>
          <w:szCs w:val="32"/>
        </w:rPr>
        <w:t xml:space="preserve">项目名称：          </w:t>
      </w:r>
      <w:r>
        <w:rPr>
          <w:rFonts w:hint="eastAsia" w:ascii="宋体" w:hAnsi="宋体" w:cs="宋体"/>
          <w:color w:val="auto"/>
          <w:sz w:val="24"/>
          <w:szCs w:val="32"/>
          <w:lang w:val="en-US" w:eastAsia="zh-CN"/>
        </w:rPr>
        <w:t xml:space="preserve">                    </w:t>
      </w:r>
      <w:r>
        <w:rPr>
          <w:rFonts w:hint="eastAsia" w:ascii="宋体" w:hAnsi="宋体" w:cs="宋体"/>
          <w:color w:val="auto"/>
          <w:sz w:val="24"/>
          <w:szCs w:val="32"/>
        </w:rPr>
        <w:t>招标编号：</w:t>
      </w:r>
    </w:p>
    <w:tbl>
      <w:tblPr>
        <w:tblStyle w:val="41"/>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259"/>
        <w:gridCol w:w="1134"/>
        <w:gridCol w:w="773"/>
        <w:gridCol w:w="709"/>
        <w:gridCol w:w="1559"/>
        <w:gridCol w:w="85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10" w:name="_Toc15002"/>
            <w:bookmarkStart w:id="211" w:name="_Toc59700395"/>
            <w:bookmarkStart w:id="212" w:name="_Toc24802"/>
            <w:bookmarkStart w:id="213" w:name="_Toc13984"/>
            <w:bookmarkStart w:id="214" w:name="_Toc24741"/>
            <w:bookmarkStart w:id="215" w:name="_Toc32936300"/>
            <w:bookmarkStart w:id="216" w:name="_Toc38370052"/>
            <w:bookmarkStart w:id="217" w:name="_Toc10935"/>
            <w:bookmarkStart w:id="218" w:name="_Toc19856"/>
            <w:bookmarkStart w:id="219" w:name="_Toc35356999"/>
            <w:bookmarkStart w:id="220" w:name="_Toc33454797"/>
            <w:r>
              <w:rPr>
                <w:rFonts w:hint="eastAsia" w:hAnsi="宋体" w:cs="宋体"/>
                <w:b/>
                <w:color w:val="auto"/>
                <w:sz w:val="24"/>
                <w:lang w:bidi="en-US"/>
              </w:rPr>
              <w:t>序号</w:t>
            </w:r>
            <w:bookmarkEnd w:id="210"/>
            <w:bookmarkEnd w:id="211"/>
            <w:bookmarkEnd w:id="212"/>
            <w:bookmarkEnd w:id="213"/>
            <w:bookmarkEnd w:id="214"/>
            <w:bookmarkEnd w:id="215"/>
            <w:bookmarkEnd w:id="216"/>
            <w:bookmarkEnd w:id="217"/>
            <w:bookmarkEnd w:id="218"/>
            <w:bookmarkEnd w:id="219"/>
            <w:bookmarkEnd w:id="220"/>
          </w:p>
        </w:tc>
        <w:tc>
          <w:tcPr>
            <w:tcW w:w="125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21" w:name="_Toc35357000"/>
            <w:bookmarkStart w:id="222" w:name="_Toc59700396"/>
            <w:bookmarkStart w:id="223" w:name="_Toc38370053"/>
            <w:bookmarkStart w:id="224" w:name="_Toc5744"/>
            <w:bookmarkStart w:id="225" w:name="_Toc5497"/>
            <w:bookmarkStart w:id="226" w:name="_Toc3254"/>
            <w:bookmarkStart w:id="227" w:name="_Toc12613"/>
            <w:bookmarkStart w:id="228" w:name="_Toc33454798"/>
            <w:bookmarkStart w:id="229" w:name="_Toc22716"/>
            <w:bookmarkStart w:id="230" w:name="_Toc32936301"/>
            <w:bookmarkStart w:id="231" w:name="_Toc3103"/>
            <w:r>
              <w:rPr>
                <w:rFonts w:hint="eastAsia" w:hAnsi="宋体" w:cs="宋体"/>
                <w:b/>
                <w:color w:val="auto"/>
                <w:sz w:val="24"/>
                <w:lang w:bidi="en-US"/>
              </w:rPr>
              <w:t>岗位</w:t>
            </w:r>
            <w:bookmarkEnd w:id="221"/>
            <w:bookmarkEnd w:id="222"/>
            <w:bookmarkEnd w:id="223"/>
            <w:bookmarkEnd w:id="224"/>
            <w:bookmarkEnd w:id="225"/>
            <w:bookmarkEnd w:id="226"/>
            <w:bookmarkEnd w:id="227"/>
            <w:bookmarkEnd w:id="228"/>
            <w:bookmarkEnd w:id="229"/>
            <w:bookmarkEnd w:id="230"/>
            <w:bookmarkEnd w:id="231"/>
          </w:p>
        </w:tc>
        <w:tc>
          <w:tcPr>
            <w:tcW w:w="1134"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32" w:name="_Toc29153"/>
            <w:bookmarkStart w:id="233" w:name="_Toc29925"/>
            <w:bookmarkStart w:id="234" w:name="_Toc28238"/>
            <w:bookmarkStart w:id="235" w:name="_Toc17104"/>
            <w:bookmarkStart w:id="236" w:name="_Toc25063"/>
            <w:bookmarkStart w:id="237" w:name="_Toc32936302"/>
            <w:bookmarkStart w:id="238" w:name="_Toc30980"/>
            <w:bookmarkStart w:id="239" w:name="_Toc38370054"/>
            <w:bookmarkStart w:id="240" w:name="_Toc59700397"/>
            <w:bookmarkStart w:id="241" w:name="_Toc35357001"/>
            <w:bookmarkStart w:id="242" w:name="_Toc33454799"/>
            <w:r>
              <w:rPr>
                <w:rFonts w:hint="eastAsia" w:hAnsi="宋体" w:cs="宋体"/>
                <w:b/>
                <w:color w:val="auto"/>
                <w:sz w:val="24"/>
                <w:lang w:bidi="en-US"/>
              </w:rPr>
              <w:t>姓名</w:t>
            </w:r>
            <w:bookmarkEnd w:id="232"/>
            <w:bookmarkEnd w:id="233"/>
            <w:bookmarkEnd w:id="234"/>
            <w:bookmarkEnd w:id="235"/>
            <w:bookmarkEnd w:id="236"/>
            <w:bookmarkEnd w:id="237"/>
            <w:bookmarkEnd w:id="238"/>
            <w:bookmarkEnd w:id="239"/>
            <w:bookmarkEnd w:id="240"/>
            <w:bookmarkEnd w:id="241"/>
            <w:bookmarkEnd w:id="242"/>
          </w:p>
        </w:tc>
        <w:tc>
          <w:tcPr>
            <w:tcW w:w="773"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43" w:name="_Toc11399"/>
            <w:bookmarkStart w:id="244" w:name="_Toc27095"/>
            <w:bookmarkStart w:id="245" w:name="_Toc32936303"/>
            <w:bookmarkStart w:id="246" w:name="_Toc14722"/>
            <w:bookmarkStart w:id="247" w:name="_Toc12251"/>
            <w:bookmarkStart w:id="248" w:name="_Toc35357002"/>
            <w:bookmarkStart w:id="249" w:name="_Toc59700398"/>
            <w:bookmarkStart w:id="250" w:name="_Toc33454800"/>
            <w:bookmarkStart w:id="251" w:name="_Toc38370055"/>
            <w:bookmarkStart w:id="252" w:name="_Toc11847"/>
            <w:bookmarkStart w:id="253" w:name="_Toc22169"/>
            <w:r>
              <w:rPr>
                <w:rFonts w:hint="eastAsia" w:hAnsi="宋体" w:cs="宋体"/>
                <w:b/>
                <w:color w:val="auto"/>
                <w:sz w:val="24"/>
                <w:lang w:bidi="en-US"/>
              </w:rPr>
              <w:t>年龄</w:t>
            </w:r>
            <w:bookmarkEnd w:id="243"/>
            <w:bookmarkEnd w:id="244"/>
            <w:bookmarkEnd w:id="245"/>
            <w:bookmarkEnd w:id="246"/>
            <w:bookmarkEnd w:id="247"/>
            <w:bookmarkEnd w:id="248"/>
            <w:bookmarkEnd w:id="249"/>
            <w:bookmarkEnd w:id="250"/>
            <w:bookmarkEnd w:id="251"/>
            <w:bookmarkEnd w:id="252"/>
            <w:bookmarkEnd w:id="253"/>
          </w:p>
        </w:tc>
        <w:tc>
          <w:tcPr>
            <w:tcW w:w="70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54" w:name="_Toc35357003"/>
            <w:bookmarkStart w:id="255" w:name="_Toc10073"/>
            <w:bookmarkStart w:id="256" w:name="_Toc2773"/>
            <w:bookmarkStart w:id="257" w:name="_Toc3352"/>
            <w:bookmarkStart w:id="258" w:name="_Toc24061"/>
            <w:bookmarkStart w:id="259" w:name="_Toc59700399"/>
            <w:bookmarkStart w:id="260" w:name="_Toc33454801"/>
            <w:bookmarkStart w:id="261" w:name="_Toc3408"/>
            <w:bookmarkStart w:id="262" w:name="_Toc32936304"/>
            <w:bookmarkStart w:id="263" w:name="_Toc21620"/>
            <w:bookmarkStart w:id="264" w:name="_Toc38370056"/>
            <w:r>
              <w:rPr>
                <w:rFonts w:hint="eastAsia" w:hAnsi="宋体" w:cs="宋体"/>
                <w:b/>
                <w:color w:val="auto"/>
                <w:sz w:val="24"/>
                <w:lang w:bidi="en-US"/>
              </w:rPr>
              <w:t>性别</w:t>
            </w:r>
            <w:bookmarkEnd w:id="254"/>
            <w:bookmarkEnd w:id="255"/>
            <w:bookmarkEnd w:id="256"/>
            <w:bookmarkEnd w:id="257"/>
            <w:bookmarkEnd w:id="258"/>
            <w:bookmarkEnd w:id="259"/>
            <w:bookmarkEnd w:id="260"/>
            <w:bookmarkEnd w:id="261"/>
            <w:bookmarkEnd w:id="262"/>
            <w:bookmarkEnd w:id="263"/>
            <w:bookmarkEnd w:id="264"/>
          </w:p>
        </w:tc>
        <w:tc>
          <w:tcPr>
            <w:tcW w:w="1559" w:type="dxa"/>
            <w:tcBorders>
              <w:top w:val="single" w:color="auto" w:sz="4" w:space="0"/>
              <w:left w:val="single" w:color="auto" w:sz="4" w:space="0"/>
              <w:bottom w:val="single" w:color="auto" w:sz="4" w:space="0"/>
              <w:right w:val="single" w:color="auto" w:sz="4" w:space="0"/>
            </w:tcBorders>
            <w:vAlign w:val="center"/>
          </w:tcPr>
          <w:p>
            <w:pPr>
              <w:pStyle w:val="108"/>
              <w:rPr>
                <w:rFonts w:hAnsi="宋体" w:cs="宋体"/>
                <w:b/>
                <w:color w:val="auto"/>
                <w:sz w:val="24"/>
                <w:lang w:bidi="en-US"/>
              </w:rPr>
            </w:pPr>
            <w:bookmarkStart w:id="265" w:name="_Toc33454802"/>
            <w:bookmarkStart w:id="266" w:name="_Toc32936305"/>
            <w:bookmarkStart w:id="267" w:name="_Toc59700400"/>
            <w:bookmarkStart w:id="268" w:name="_Toc38370057"/>
            <w:bookmarkStart w:id="269" w:name="_Toc27389"/>
            <w:bookmarkStart w:id="270" w:name="_Toc22485"/>
            <w:bookmarkStart w:id="271" w:name="_Toc20746"/>
            <w:bookmarkStart w:id="272" w:name="_Toc35357004"/>
            <w:bookmarkStart w:id="273" w:name="_Toc3864"/>
            <w:bookmarkStart w:id="274" w:name="_Toc11180"/>
            <w:bookmarkStart w:id="275" w:name="_Toc14313"/>
            <w:r>
              <w:rPr>
                <w:rFonts w:hint="eastAsia" w:hAnsi="宋体" w:cs="宋体"/>
                <w:b/>
                <w:color w:val="auto"/>
                <w:sz w:val="24"/>
                <w:lang w:bidi="en-US"/>
              </w:rPr>
              <w:t>从业年限</w:t>
            </w:r>
            <w:bookmarkEnd w:id="265"/>
            <w:bookmarkEnd w:id="266"/>
            <w:bookmarkEnd w:id="267"/>
            <w:bookmarkEnd w:id="268"/>
            <w:bookmarkEnd w:id="269"/>
            <w:bookmarkEnd w:id="270"/>
            <w:bookmarkEnd w:id="271"/>
            <w:bookmarkEnd w:id="272"/>
            <w:bookmarkEnd w:id="273"/>
            <w:bookmarkEnd w:id="274"/>
            <w:bookmarkEnd w:id="275"/>
          </w:p>
        </w:tc>
        <w:tc>
          <w:tcPr>
            <w:tcW w:w="850" w:type="dxa"/>
            <w:tcBorders>
              <w:top w:val="single" w:color="auto" w:sz="4" w:space="0"/>
              <w:left w:val="single" w:color="auto" w:sz="4" w:space="0"/>
              <w:bottom w:val="single" w:color="auto" w:sz="4" w:space="0"/>
              <w:right w:val="single" w:color="auto" w:sz="4" w:space="0"/>
            </w:tcBorders>
            <w:vAlign w:val="center"/>
          </w:tcPr>
          <w:p>
            <w:pPr>
              <w:tabs>
                <w:tab w:val="left" w:pos="664"/>
              </w:tabs>
              <w:jc w:val="center"/>
              <w:rPr>
                <w:rFonts w:ascii="宋体" w:hAnsi="宋体" w:cs="宋体"/>
                <w:b/>
                <w:color w:val="auto"/>
                <w:sz w:val="24"/>
              </w:rPr>
            </w:pPr>
            <w:r>
              <w:rPr>
                <w:rFonts w:hint="eastAsia" w:ascii="宋体" w:hAnsi="宋体" w:cs="宋体"/>
                <w:b/>
                <w:color w:val="auto"/>
                <w:sz w:val="24"/>
                <w:szCs w:val="20"/>
              </w:rPr>
              <w:t>学历</w:t>
            </w: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b/>
                <w:color w:val="auto"/>
                <w:sz w:val="24"/>
                <w:lang w:bidi="en-US"/>
              </w:rPr>
            </w:pPr>
            <w:bookmarkStart w:id="276" w:name="_Toc16331"/>
            <w:bookmarkStart w:id="277" w:name="_Toc945"/>
            <w:bookmarkStart w:id="278" w:name="_Toc59700401"/>
            <w:bookmarkStart w:id="279" w:name="_Toc22596"/>
            <w:bookmarkStart w:id="280" w:name="_Toc8037"/>
            <w:bookmarkStart w:id="281" w:name="_Toc25770"/>
            <w:bookmarkStart w:id="282" w:name="_Toc38370058"/>
            <w:bookmarkStart w:id="283" w:name="_Toc18362"/>
            <w:r>
              <w:rPr>
                <w:rFonts w:hint="eastAsia" w:hAnsi="宋体" w:cs="宋体"/>
                <w:b/>
                <w:color w:val="auto"/>
                <w:sz w:val="24"/>
                <w:lang w:bidi="en-US"/>
              </w:rPr>
              <w:t>备注</w:t>
            </w:r>
            <w:bookmarkEnd w:id="276"/>
            <w:bookmarkEnd w:id="277"/>
            <w:bookmarkEnd w:id="278"/>
            <w:bookmarkEnd w:id="279"/>
            <w:bookmarkEnd w:id="280"/>
            <w:bookmarkEnd w:id="281"/>
            <w:bookmarkEnd w:id="282"/>
            <w:bookmarkEnd w:id="2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284" w:name="_Toc15965"/>
            <w:bookmarkStart w:id="285" w:name="_Toc38370059"/>
            <w:bookmarkStart w:id="286" w:name="_Toc59700402"/>
            <w:bookmarkStart w:id="287" w:name="_Toc33454805"/>
            <w:bookmarkStart w:id="288" w:name="_Toc22918"/>
            <w:bookmarkStart w:id="289" w:name="_Toc32936308"/>
            <w:bookmarkStart w:id="290" w:name="_Toc7723"/>
            <w:bookmarkStart w:id="291" w:name="_Toc35357006"/>
            <w:bookmarkStart w:id="292" w:name="_Toc9409"/>
            <w:bookmarkStart w:id="293" w:name="_Toc17028"/>
            <w:bookmarkStart w:id="294" w:name="_Toc20092"/>
            <w:r>
              <w:rPr>
                <w:rFonts w:hint="eastAsia" w:hAnsi="宋体" w:cs="宋体"/>
                <w:color w:val="auto"/>
                <w:lang w:bidi="en-US"/>
              </w:rPr>
              <w:t>1</w:t>
            </w:r>
            <w:bookmarkEnd w:id="284"/>
            <w:bookmarkEnd w:id="285"/>
            <w:bookmarkEnd w:id="286"/>
            <w:bookmarkEnd w:id="287"/>
            <w:bookmarkEnd w:id="288"/>
            <w:bookmarkEnd w:id="289"/>
            <w:bookmarkEnd w:id="290"/>
            <w:bookmarkEnd w:id="291"/>
            <w:bookmarkEnd w:id="292"/>
            <w:bookmarkEnd w:id="293"/>
            <w:bookmarkEnd w:id="294"/>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295" w:name="_Toc13145"/>
            <w:bookmarkStart w:id="296" w:name="_Toc8313"/>
            <w:bookmarkStart w:id="297" w:name="_Toc33454807"/>
            <w:bookmarkStart w:id="298" w:name="_Toc35357007"/>
            <w:bookmarkStart w:id="299" w:name="_Toc31496"/>
            <w:bookmarkStart w:id="300" w:name="_Toc10416"/>
            <w:bookmarkStart w:id="301" w:name="_Toc38370060"/>
            <w:bookmarkStart w:id="302" w:name="_Toc32936310"/>
            <w:bookmarkStart w:id="303" w:name="_Toc20695"/>
            <w:bookmarkStart w:id="304" w:name="_Toc30518"/>
            <w:bookmarkStart w:id="305" w:name="_Toc59700403"/>
            <w:r>
              <w:rPr>
                <w:rFonts w:hint="eastAsia" w:hAnsi="宋体" w:cs="宋体"/>
                <w:color w:val="auto"/>
                <w:lang w:bidi="en-US"/>
              </w:rPr>
              <w:t>2</w:t>
            </w:r>
            <w:bookmarkEnd w:id="295"/>
            <w:bookmarkEnd w:id="296"/>
            <w:bookmarkEnd w:id="297"/>
            <w:bookmarkEnd w:id="298"/>
            <w:bookmarkEnd w:id="299"/>
            <w:bookmarkEnd w:id="300"/>
            <w:bookmarkEnd w:id="301"/>
            <w:bookmarkEnd w:id="302"/>
            <w:bookmarkEnd w:id="303"/>
            <w:bookmarkEnd w:id="304"/>
            <w:bookmarkEnd w:id="305"/>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06" w:name="_Toc30676"/>
            <w:bookmarkStart w:id="307" w:name="_Toc21717"/>
            <w:bookmarkStart w:id="308" w:name="_Toc38370061"/>
            <w:bookmarkStart w:id="309" w:name="_Toc10043"/>
            <w:bookmarkStart w:id="310" w:name="_Toc10023"/>
            <w:bookmarkStart w:id="311" w:name="_Toc33454809"/>
            <w:bookmarkStart w:id="312" w:name="_Toc59700404"/>
            <w:bookmarkStart w:id="313" w:name="_Toc35357008"/>
            <w:bookmarkStart w:id="314" w:name="_Toc26410"/>
            <w:bookmarkStart w:id="315" w:name="_Toc7446"/>
            <w:bookmarkStart w:id="316" w:name="_Toc32936312"/>
            <w:r>
              <w:rPr>
                <w:rFonts w:hint="eastAsia" w:hAnsi="宋体" w:cs="宋体"/>
                <w:color w:val="auto"/>
                <w:lang w:bidi="en-US"/>
              </w:rPr>
              <w:t>3</w:t>
            </w:r>
            <w:bookmarkEnd w:id="306"/>
            <w:bookmarkEnd w:id="307"/>
            <w:bookmarkEnd w:id="308"/>
            <w:bookmarkEnd w:id="309"/>
            <w:bookmarkEnd w:id="310"/>
            <w:bookmarkEnd w:id="311"/>
            <w:bookmarkEnd w:id="312"/>
            <w:bookmarkEnd w:id="313"/>
            <w:bookmarkEnd w:id="314"/>
            <w:bookmarkEnd w:id="315"/>
            <w:bookmarkEnd w:id="316"/>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17" w:name="_Toc59700405"/>
            <w:bookmarkStart w:id="318" w:name="_Toc31364"/>
            <w:bookmarkStart w:id="319" w:name="_Toc24385"/>
            <w:bookmarkStart w:id="320" w:name="_Toc15178"/>
            <w:bookmarkStart w:id="321" w:name="_Toc35357009"/>
            <w:bookmarkStart w:id="322" w:name="_Toc17006"/>
            <w:bookmarkStart w:id="323" w:name="_Toc38370062"/>
            <w:bookmarkStart w:id="324" w:name="_Toc29739"/>
            <w:bookmarkStart w:id="325" w:name="_Toc11440"/>
            <w:r>
              <w:rPr>
                <w:rFonts w:hint="eastAsia" w:hAnsi="宋体" w:cs="宋体"/>
                <w:color w:val="auto"/>
                <w:lang w:bidi="en-US"/>
              </w:rPr>
              <w:t>4</w:t>
            </w:r>
            <w:bookmarkEnd w:id="317"/>
            <w:bookmarkEnd w:id="318"/>
            <w:bookmarkEnd w:id="319"/>
            <w:bookmarkEnd w:id="320"/>
            <w:bookmarkEnd w:id="321"/>
            <w:bookmarkEnd w:id="322"/>
            <w:bookmarkEnd w:id="323"/>
            <w:bookmarkEnd w:id="324"/>
            <w:bookmarkEnd w:id="325"/>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ind w:firstLine="480"/>
              <w:jc w:val="center"/>
              <w:rPr>
                <w:rFonts w:hAnsi="宋体" w:cs="宋体"/>
                <w:color w:val="auto"/>
                <w:lang w:bidi="en-US"/>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8"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2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bookmarkStart w:id="326" w:name="_Toc35357010"/>
            <w:bookmarkStart w:id="327" w:name="_Toc10459"/>
            <w:bookmarkStart w:id="328" w:name="_Toc32936318"/>
            <w:bookmarkStart w:id="329" w:name="_Toc5636"/>
            <w:bookmarkStart w:id="330" w:name="_Toc8909"/>
            <w:bookmarkStart w:id="331" w:name="_Toc25620"/>
            <w:bookmarkStart w:id="332" w:name="_Toc59700406"/>
            <w:bookmarkStart w:id="333" w:name="_Toc2571"/>
            <w:bookmarkStart w:id="334" w:name="_Toc33454815"/>
            <w:bookmarkStart w:id="335" w:name="_Toc6358"/>
            <w:bookmarkStart w:id="336" w:name="_Toc38370063"/>
            <w:r>
              <w:rPr>
                <w:rFonts w:hint="eastAsia" w:hAnsi="宋体" w:cs="宋体"/>
                <w:color w:val="auto"/>
                <w:lang w:bidi="en-US"/>
              </w:rPr>
              <w:t>…</w:t>
            </w:r>
            <w:bookmarkEnd w:id="326"/>
            <w:bookmarkEnd w:id="327"/>
            <w:bookmarkEnd w:id="328"/>
            <w:bookmarkEnd w:id="329"/>
            <w:bookmarkEnd w:id="330"/>
            <w:bookmarkEnd w:id="331"/>
            <w:bookmarkEnd w:id="332"/>
            <w:bookmarkEnd w:id="333"/>
            <w:bookmarkEnd w:id="334"/>
            <w:bookmarkEnd w:id="335"/>
            <w:bookmarkEnd w:id="336"/>
          </w:p>
        </w:tc>
        <w:tc>
          <w:tcPr>
            <w:tcW w:w="1134"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73"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70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85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108"/>
              <w:jc w:val="center"/>
              <w:rPr>
                <w:rFonts w:hAnsi="宋体" w:cs="宋体"/>
                <w:color w:val="auto"/>
                <w:lang w:bidi="en-US"/>
              </w:rPr>
            </w:pPr>
          </w:p>
        </w:tc>
      </w:tr>
    </w:tbl>
    <w:p>
      <w:pPr>
        <w:spacing w:line="276" w:lineRule="auto"/>
        <w:rPr>
          <w:rFonts w:ascii="宋体" w:hAnsi="宋体" w:cs="宋体"/>
          <w:color w:val="auto"/>
        </w:rPr>
      </w:pPr>
    </w:p>
    <w:p>
      <w:pPr>
        <w:spacing w:line="360" w:lineRule="exact"/>
        <w:rPr>
          <w:rFonts w:ascii="宋体" w:hAnsi="宋体" w:cs="宋体"/>
          <w:color w:val="auto"/>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pStyle w:val="4"/>
        <w:spacing w:beforeLines="50" w:afterLines="50" w:line="240" w:lineRule="auto"/>
        <w:jc w:val="center"/>
        <w:rPr>
          <w:rFonts w:hint="eastAsia" w:ascii="宋体" w:hAnsi="宋体" w:eastAsia="宋体" w:cs="宋体"/>
          <w:bCs w:val="0"/>
          <w:color w:val="auto"/>
          <w:sz w:val="28"/>
          <w:szCs w:val="28"/>
          <w:lang w:val="en-US" w:eastAsia="zh-CN"/>
        </w:rPr>
        <w:sectPr>
          <w:pgSz w:w="11907" w:h="16840"/>
          <w:pgMar w:top="1418" w:right="1247" w:bottom="1418" w:left="1474" w:header="851" w:footer="992" w:gutter="0"/>
          <w:pgNumType w:fmt="decimal"/>
          <w:cols w:space="720" w:num="1"/>
        </w:sectPr>
      </w:pPr>
      <w:bookmarkStart w:id="337" w:name="_Toc18728"/>
      <w:bookmarkStart w:id="338" w:name="_Toc28035"/>
      <w:bookmarkStart w:id="339" w:name="_Toc22910"/>
      <w:bookmarkStart w:id="340" w:name="_Toc59700407"/>
      <w:bookmarkStart w:id="341" w:name="_Toc22610"/>
      <w:bookmarkStart w:id="342" w:name="_Toc15554"/>
    </w:p>
    <w:p>
      <w:pPr>
        <w:pStyle w:val="4"/>
        <w:spacing w:beforeLines="50" w:afterLines="50" w:line="240" w:lineRule="auto"/>
        <w:jc w:val="center"/>
        <w:rPr>
          <w:rFonts w:ascii="宋体" w:hAnsi="宋体" w:eastAsia="宋体" w:cs="宋体"/>
          <w:bCs w:val="0"/>
          <w:color w:val="auto"/>
          <w:sz w:val="28"/>
          <w:szCs w:val="28"/>
        </w:rPr>
      </w:pPr>
      <w:bookmarkStart w:id="343" w:name="_Toc21676"/>
      <w:r>
        <w:rPr>
          <w:rFonts w:hint="eastAsia" w:ascii="宋体" w:hAnsi="宋体" w:eastAsia="宋体" w:cs="宋体"/>
          <w:bCs w:val="0"/>
          <w:color w:val="auto"/>
          <w:sz w:val="28"/>
          <w:szCs w:val="28"/>
          <w:lang w:val="en-US" w:eastAsia="zh-CN"/>
        </w:rPr>
        <w:t>6.</w:t>
      </w:r>
      <w:r>
        <w:rPr>
          <w:rFonts w:hint="eastAsia" w:ascii="宋体" w:hAnsi="宋体" w:eastAsia="宋体" w:cs="宋体"/>
          <w:bCs w:val="0"/>
          <w:color w:val="auto"/>
          <w:sz w:val="28"/>
          <w:szCs w:val="28"/>
        </w:rPr>
        <w:t>服务设备情况</w:t>
      </w:r>
      <w:bookmarkEnd w:id="337"/>
      <w:bookmarkEnd w:id="338"/>
      <w:bookmarkEnd w:id="339"/>
      <w:bookmarkEnd w:id="340"/>
      <w:bookmarkEnd w:id="341"/>
      <w:bookmarkEnd w:id="342"/>
      <w:bookmarkEnd w:id="343"/>
    </w:p>
    <w:p>
      <w:pPr>
        <w:rPr>
          <w:rFonts w:ascii="宋体" w:hAnsi="宋体" w:cs="宋体"/>
          <w:color w:val="auto"/>
        </w:rPr>
      </w:pPr>
    </w:p>
    <w:p>
      <w:pPr>
        <w:spacing w:line="360" w:lineRule="auto"/>
        <w:jc w:val="center"/>
        <w:rPr>
          <w:rFonts w:ascii="宋体" w:hAnsi="宋体" w:cs="宋体"/>
          <w:color w:val="auto"/>
          <w:sz w:val="24"/>
        </w:rPr>
      </w:pPr>
      <w:r>
        <w:rPr>
          <w:rFonts w:hint="eastAsia" w:ascii="宋体" w:hAnsi="宋体" w:cs="宋体"/>
          <w:color w:val="auto"/>
          <w:sz w:val="24"/>
        </w:rPr>
        <w:t>（投标人根据自身情况自拟）</w:t>
      </w:r>
    </w:p>
    <w:p>
      <w:pPr>
        <w:rPr>
          <w:rFonts w:ascii="宋体" w:hAnsi="宋体" w:cs="宋体"/>
          <w:color w:val="auto"/>
        </w:rPr>
      </w:pPr>
    </w:p>
    <w:p>
      <w:pPr>
        <w:rPr>
          <w:rFonts w:ascii="宋体" w:hAnsi="宋体" w:cs="宋体"/>
          <w:color w:val="auto"/>
        </w:rPr>
      </w:pPr>
    </w:p>
    <w:p>
      <w:pPr>
        <w:pStyle w:val="40"/>
        <w:rPr>
          <w:rFonts w:ascii="宋体" w:hAnsi="宋体" w:cs="宋体"/>
          <w:color w:val="auto"/>
        </w:rPr>
      </w:pPr>
    </w:p>
    <w:p>
      <w:pPr>
        <w:pStyle w:val="40"/>
        <w:rPr>
          <w:rFonts w:ascii="宋体" w:hAnsi="宋体" w:cs="宋体"/>
          <w:color w:val="auto"/>
        </w:rPr>
      </w:pPr>
    </w:p>
    <w:p>
      <w:pPr>
        <w:pStyle w:val="40"/>
        <w:rPr>
          <w:rFonts w:ascii="宋体" w:hAnsi="宋体" w:cs="宋体"/>
          <w:color w:val="auto"/>
        </w:rPr>
      </w:pPr>
    </w:p>
    <w:p>
      <w:pPr>
        <w:pStyle w:val="40"/>
        <w:rPr>
          <w:rFonts w:ascii="宋体" w:hAnsi="宋体" w:cs="宋体"/>
          <w:color w:val="auto"/>
        </w:rPr>
      </w:pPr>
    </w:p>
    <w:p>
      <w:pPr>
        <w:pStyle w:val="40"/>
        <w:rPr>
          <w:rFonts w:ascii="宋体" w:hAnsi="宋体" w:cs="宋体"/>
          <w:color w:val="auto"/>
        </w:rPr>
      </w:pPr>
    </w:p>
    <w:p>
      <w:pPr>
        <w:pStyle w:val="40"/>
        <w:rPr>
          <w:rFonts w:ascii="宋体" w:hAnsi="宋体" w:cs="宋体"/>
          <w:color w:val="auto"/>
        </w:rPr>
      </w:pPr>
    </w:p>
    <w:p>
      <w:pPr>
        <w:rPr>
          <w:rFonts w:ascii="宋体" w:hAnsi="宋体" w:cs="宋体"/>
          <w:color w:val="auto"/>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rPr>
          <w:rFonts w:ascii="宋体" w:hAnsi="宋体" w:cs="宋体"/>
          <w:b/>
          <w:color w:val="auto"/>
          <w:sz w:val="36"/>
        </w:rPr>
      </w:pPr>
      <w:r>
        <w:rPr>
          <w:rFonts w:hint="eastAsia" w:ascii="宋体" w:hAnsi="宋体" w:cs="宋体"/>
          <w:color w:val="auto"/>
          <w:sz w:val="24"/>
          <w:u w:val="single"/>
        </w:rPr>
        <w:br w:type="page"/>
      </w:r>
    </w:p>
    <w:p>
      <w:pPr>
        <w:jc w:val="center"/>
        <w:rPr>
          <w:rFonts w:ascii="宋体" w:hAnsi="宋体" w:cs="宋体"/>
          <w:b/>
          <w:color w:val="auto"/>
          <w:sz w:val="36"/>
          <w:szCs w:val="36"/>
        </w:rPr>
        <w:sectPr>
          <w:pgSz w:w="11907" w:h="16840"/>
          <w:pgMar w:top="1418" w:right="1247" w:bottom="1418" w:left="1474" w:header="851" w:footer="992" w:gutter="0"/>
          <w:pgNumType w:fmt="decimal"/>
          <w:cols w:space="720" w:num="1"/>
        </w:sectPr>
      </w:pPr>
    </w:p>
    <w:bookmarkEnd w:id="205"/>
    <w:p>
      <w:pPr>
        <w:spacing w:beforeLines="50" w:afterLines="50"/>
        <w:jc w:val="center"/>
        <w:rPr>
          <w:rFonts w:hint="eastAsia" w:ascii="宋体" w:hAnsi="宋体" w:eastAsia="宋体" w:cs="宋体"/>
          <w:b/>
          <w:bCs/>
          <w:color w:val="auto"/>
          <w:sz w:val="30"/>
          <w:szCs w:val="32"/>
          <w:lang w:val="en-US" w:eastAsia="zh-CN"/>
        </w:rPr>
      </w:pPr>
      <w:bookmarkStart w:id="344" w:name="_Toc38918007"/>
      <w:bookmarkStart w:id="345" w:name="_Toc44362921"/>
      <w:bookmarkStart w:id="346" w:name="_Toc35357013"/>
      <w:bookmarkStart w:id="347" w:name="_Toc44252987"/>
      <w:r>
        <w:rPr>
          <w:rFonts w:hint="eastAsia" w:ascii="宋体" w:hAnsi="宋体" w:cs="宋体"/>
          <w:b/>
          <w:bCs/>
          <w:color w:val="auto"/>
          <w:sz w:val="30"/>
          <w:szCs w:val="32"/>
          <w:lang w:val="en-US" w:eastAsia="zh-CN"/>
        </w:rPr>
        <w:t>7.</w:t>
      </w:r>
      <w:r>
        <w:rPr>
          <w:rFonts w:hint="eastAsia" w:ascii="宋体" w:hAnsi="宋体" w:cs="宋体"/>
          <w:b/>
          <w:bCs/>
          <w:color w:val="auto"/>
          <w:sz w:val="30"/>
          <w:szCs w:val="32"/>
        </w:rPr>
        <w:t>承诺</w:t>
      </w:r>
      <w:r>
        <w:rPr>
          <w:rFonts w:hint="eastAsia" w:ascii="宋体" w:hAnsi="宋体" w:cs="宋体"/>
          <w:b/>
          <w:bCs/>
          <w:color w:val="auto"/>
          <w:sz w:val="30"/>
          <w:szCs w:val="32"/>
          <w:lang w:val="en-US" w:eastAsia="zh-CN"/>
        </w:rPr>
        <w:t>函</w:t>
      </w:r>
    </w:p>
    <w:p>
      <w:pPr>
        <w:tabs>
          <w:tab w:val="left" w:pos="900"/>
        </w:tabs>
        <w:spacing w:line="460" w:lineRule="exact"/>
        <w:rPr>
          <w:rFonts w:ascii="宋体" w:hAnsi="宋体" w:cs="宋体"/>
          <w:color w:val="auto"/>
          <w:kern w:val="0"/>
          <w:sz w:val="24"/>
        </w:rPr>
      </w:pPr>
      <w:r>
        <w:rPr>
          <w:rFonts w:hint="eastAsia" w:ascii="宋体" w:hAnsi="宋体" w:cs="宋体"/>
          <w:color w:val="auto"/>
          <w:kern w:val="0"/>
          <w:sz w:val="24"/>
        </w:rPr>
        <w:t>致：</w:t>
      </w:r>
      <w:r>
        <w:rPr>
          <w:rFonts w:hint="eastAsia" w:ascii="宋体" w:hAnsi="宋体" w:cs="宋体"/>
          <w:color w:val="auto"/>
          <w:kern w:val="0"/>
          <w:sz w:val="24"/>
          <w:u w:val="single"/>
        </w:rPr>
        <w:t>厦门五缘游艇文化发展有限公司</w:t>
      </w:r>
    </w:p>
    <w:p>
      <w:pPr>
        <w:tabs>
          <w:tab w:val="left" w:pos="900"/>
        </w:tabs>
        <w:spacing w:line="460" w:lineRule="exact"/>
        <w:rPr>
          <w:rFonts w:hint="eastAsia" w:ascii="宋体" w:hAnsi="宋体" w:cs="宋体"/>
          <w:color w:val="auto"/>
          <w:kern w:val="0"/>
          <w:sz w:val="24"/>
        </w:rPr>
      </w:pPr>
      <w:r>
        <w:rPr>
          <w:rFonts w:hint="eastAsia" w:ascii="宋体" w:hAnsi="宋体" w:cs="宋体"/>
          <w:color w:val="auto"/>
          <w:kern w:val="0"/>
          <w:sz w:val="24"/>
        </w:rPr>
        <w:t xml:space="preserve">    </w:t>
      </w:r>
    </w:p>
    <w:p>
      <w:pPr>
        <w:tabs>
          <w:tab w:val="left" w:pos="900"/>
        </w:tabs>
        <w:spacing w:line="460" w:lineRule="exact"/>
        <w:ind w:firstLine="480" w:firstLineChars="200"/>
        <w:rPr>
          <w:rFonts w:ascii="宋体" w:hAnsi="宋体" w:cs="宋体"/>
          <w:color w:val="auto"/>
          <w:kern w:val="0"/>
          <w:sz w:val="24"/>
        </w:rPr>
      </w:pPr>
      <w:r>
        <w:rPr>
          <w:rFonts w:hint="eastAsia" w:ascii="宋体" w:hAnsi="宋体" w:cs="宋体"/>
          <w:color w:val="auto"/>
          <w:kern w:val="0"/>
          <w:sz w:val="24"/>
        </w:rPr>
        <w:t>根据贵方为</w:t>
      </w:r>
      <w:r>
        <w:rPr>
          <w:rFonts w:hint="eastAsia" w:ascii="宋体" w:hAnsi="宋体" w:cs="宋体"/>
          <w:color w:val="auto"/>
          <w:kern w:val="0"/>
          <w:sz w:val="24"/>
          <w:u w:val="single"/>
        </w:rPr>
        <w:t xml:space="preserve"> （项目编号、项目名称） </w:t>
      </w:r>
      <w:r>
        <w:rPr>
          <w:rFonts w:hint="eastAsia" w:ascii="宋体" w:hAnsi="宋体" w:cs="宋体"/>
          <w:color w:val="auto"/>
          <w:kern w:val="0"/>
          <w:sz w:val="24"/>
        </w:rPr>
        <w:t>招标项目的投标邀请，我司对该项目做出如下服务承诺：</w:t>
      </w:r>
    </w:p>
    <w:p>
      <w:pPr>
        <w:tabs>
          <w:tab w:val="left" w:pos="900"/>
        </w:tabs>
        <w:spacing w:line="460" w:lineRule="exact"/>
        <w:rPr>
          <w:rFonts w:ascii="宋体" w:hAnsi="宋体" w:cs="宋体"/>
          <w:color w:val="auto"/>
          <w:kern w:val="0"/>
          <w:sz w:val="24"/>
        </w:rPr>
      </w:pPr>
    </w:p>
    <w:p>
      <w:pPr>
        <w:tabs>
          <w:tab w:val="left" w:pos="900"/>
        </w:tabs>
        <w:spacing w:line="460" w:lineRule="exact"/>
        <w:jc w:val="center"/>
        <w:rPr>
          <w:rFonts w:ascii="宋体" w:hAnsi="宋体" w:cs="宋体"/>
          <w:b/>
          <w:bCs/>
          <w:color w:val="auto"/>
          <w:kern w:val="0"/>
          <w:sz w:val="24"/>
        </w:rPr>
      </w:pPr>
      <w:r>
        <w:rPr>
          <w:rFonts w:hint="eastAsia" w:ascii="宋体" w:hAnsi="宋体" w:cs="宋体"/>
          <w:b/>
          <w:bCs/>
          <w:color w:val="auto"/>
          <w:kern w:val="0"/>
          <w:sz w:val="24"/>
        </w:rPr>
        <w:t>（其他服务承诺内容根据招标文件要求自拟）</w:t>
      </w:r>
    </w:p>
    <w:p>
      <w:pPr>
        <w:tabs>
          <w:tab w:val="left" w:pos="900"/>
        </w:tabs>
        <w:spacing w:line="460" w:lineRule="exact"/>
        <w:rPr>
          <w:rFonts w:ascii="宋体" w:hAnsi="宋体" w:cs="宋体"/>
          <w:color w:val="auto"/>
          <w:kern w:val="0"/>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spacing w:beforeLines="50" w:afterLines="50"/>
        <w:jc w:val="center"/>
        <w:rPr>
          <w:rFonts w:ascii="宋体" w:hAnsi="宋体" w:cs="宋体"/>
          <w:b/>
          <w:bCs/>
          <w:color w:val="auto"/>
          <w:sz w:val="30"/>
          <w:szCs w:val="32"/>
        </w:rPr>
      </w:pPr>
      <w:r>
        <w:rPr>
          <w:rFonts w:hint="eastAsia" w:ascii="宋体" w:hAnsi="宋体" w:cs="宋体"/>
          <w:color w:val="auto"/>
          <w:sz w:val="28"/>
          <w:szCs w:val="28"/>
        </w:rPr>
        <w:br w:type="page"/>
      </w:r>
      <w:r>
        <w:rPr>
          <w:rFonts w:hint="eastAsia" w:ascii="宋体" w:hAnsi="宋体" w:cs="宋体"/>
          <w:b/>
          <w:bCs/>
          <w:color w:val="auto"/>
          <w:sz w:val="30"/>
          <w:szCs w:val="32"/>
          <w:lang w:val="en-US" w:eastAsia="zh-CN"/>
        </w:rPr>
        <w:t>8.</w:t>
      </w:r>
      <w:r>
        <w:rPr>
          <w:rFonts w:hint="eastAsia" w:ascii="宋体" w:hAnsi="宋体" w:cs="宋体"/>
          <w:b/>
          <w:bCs/>
          <w:color w:val="auto"/>
          <w:sz w:val="30"/>
          <w:szCs w:val="32"/>
        </w:rPr>
        <w:t>业绩项目信息</w:t>
      </w:r>
    </w:p>
    <w:p>
      <w:pPr>
        <w:spacing w:line="360" w:lineRule="auto"/>
        <w:ind w:firstLine="482" w:firstLineChars="200"/>
        <w:rPr>
          <w:rFonts w:ascii="宋体" w:hAnsi="宋体" w:cs="宋体"/>
          <w:b/>
          <w:bCs/>
          <w:color w:val="auto"/>
          <w:sz w:val="24"/>
        </w:rPr>
      </w:pPr>
      <w:r>
        <w:rPr>
          <w:rFonts w:hint="eastAsia" w:ascii="宋体" w:hAnsi="宋体" w:cs="宋体"/>
          <w:b/>
          <w:color w:val="auto"/>
          <w:sz w:val="24"/>
        </w:rPr>
        <w:t xml:space="preserve">本项目在评审结束后，招标人有权去我司项目所在地实地考察其项目的实际运营情况以及业绩真伪等，若发现我司有虚假应标，招标人有权取消我司第一中标候选人资格。   </w:t>
      </w:r>
    </w:p>
    <w:tbl>
      <w:tblPr>
        <w:tblStyle w:val="42"/>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3511"/>
        <w:gridCol w:w="1734"/>
        <w:gridCol w:w="1666"/>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序号</w:t>
            </w:r>
          </w:p>
        </w:tc>
        <w:tc>
          <w:tcPr>
            <w:tcW w:w="3511"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业绩项目名称</w:t>
            </w:r>
          </w:p>
        </w:tc>
        <w:tc>
          <w:tcPr>
            <w:tcW w:w="173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项目地址</w:t>
            </w:r>
          </w:p>
        </w:tc>
        <w:tc>
          <w:tcPr>
            <w:tcW w:w="1666"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项目联系人</w:t>
            </w:r>
          </w:p>
        </w:tc>
        <w:tc>
          <w:tcPr>
            <w:tcW w:w="1572"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1</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2</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3</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4</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center"/>
          </w:tcPr>
          <w:p>
            <w:pPr>
              <w:tabs>
                <w:tab w:val="left" w:pos="900"/>
              </w:tabs>
              <w:spacing w:line="460" w:lineRule="exact"/>
              <w:jc w:val="center"/>
              <w:rPr>
                <w:rFonts w:ascii="宋体" w:hAnsi="宋体" w:cs="宋体"/>
                <w:color w:val="auto"/>
                <w:kern w:val="0"/>
                <w:sz w:val="24"/>
              </w:rPr>
            </w:pPr>
            <w:r>
              <w:rPr>
                <w:rFonts w:hint="eastAsia" w:ascii="宋体" w:hAnsi="宋体" w:cs="宋体"/>
                <w:color w:val="auto"/>
                <w:kern w:val="0"/>
                <w:sz w:val="24"/>
              </w:rPr>
              <w:t>...</w:t>
            </w:r>
          </w:p>
        </w:tc>
        <w:tc>
          <w:tcPr>
            <w:tcW w:w="3511" w:type="dxa"/>
            <w:vAlign w:val="center"/>
          </w:tcPr>
          <w:p>
            <w:pPr>
              <w:tabs>
                <w:tab w:val="left" w:pos="900"/>
              </w:tabs>
              <w:spacing w:line="460" w:lineRule="exact"/>
              <w:jc w:val="center"/>
              <w:rPr>
                <w:rFonts w:ascii="宋体" w:hAnsi="宋体" w:cs="宋体"/>
                <w:color w:val="auto"/>
                <w:kern w:val="0"/>
                <w:sz w:val="24"/>
              </w:rPr>
            </w:pPr>
          </w:p>
        </w:tc>
        <w:tc>
          <w:tcPr>
            <w:tcW w:w="1734" w:type="dxa"/>
            <w:vAlign w:val="center"/>
          </w:tcPr>
          <w:p>
            <w:pPr>
              <w:tabs>
                <w:tab w:val="left" w:pos="900"/>
              </w:tabs>
              <w:spacing w:line="460" w:lineRule="exact"/>
              <w:jc w:val="center"/>
              <w:rPr>
                <w:rFonts w:ascii="宋体" w:hAnsi="宋体" w:cs="宋体"/>
                <w:color w:val="auto"/>
                <w:kern w:val="0"/>
                <w:sz w:val="24"/>
              </w:rPr>
            </w:pPr>
          </w:p>
        </w:tc>
        <w:tc>
          <w:tcPr>
            <w:tcW w:w="1666" w:type="dxa"/>
            <w:vAlign w:val="center"/>
          </w:tcPr>
          <w:p>
            <w:pPr>
              <w:tabs>
                <w:tab w:val="left" w:pos="900"/>
              </w:tabs>
              <w:spacing w:line="460" w:lineRule="exact"/>
              <w:jc w:val="center"/>
              <w:rPr>
                <w:rFonts w:ascii="宋体" w:hAnsi="宋体" w:cs="宋体"/>
                <w:color w:val="auto"/>
                <w:kern w:val="0"/>
                <w:sz w:val="24"/>
              </w:rPr>
            </w:pPr>
          </w:p>
        </w:tc>
        <w:tc>
          <w:tcPr>
            <w:tcW w:w="1572" w:type="dxa"/>
            <w:vAlign w:val="center"/>
          </w:tcPr>
          <w:p>
            <w:pPr>
              <w:tabs>
                <w:tab w:val="left" w:pos="900"/>
              </w:tabs>
              <w:spacing w:line="460" w:lineRule="exact"/>
              <w:jc w:val="center"/>
              <w:rPr>
                <w:rFonts w:ascii="宋体" w:hAnsi="宋体" w:cs="宋体"/>
                <w:color w:val="auto"/>
                <w:kern w:val="0"/>
                <w:sz w:val="24"/>
              </w:rPr>
            </w:pPr>
          </w:p>
        </w:tc>
      </w:tr>
    </w:tbl>
    <w:p>
      <w:pPr>
        <w:tabs>
          <w:tab w:val="left" w:pos="900"/>
        </w:tabs>
        <w:spacing w:line="460" w:lineRule="exact"/>
        <w:rPr>
          <w:rFonts w:ascii="宋体" w:hAnsi="宋体" w:cs="宋体"/>
          <w:color w:val="auto"/>
          <w:kern w:val="0"/>
          <w:sz w:val="24"/>
        </w:rPr>
      </w:pPr>
    </w:p>
    <w:p>
      <w:pPr>
        <w:tabs>
          <w:tab w:val="left" w:pos="900"/>
        </w:tabs>
        <w:spacing w:line="460" w:lineRule="exact"/>
        <w:rPr>
          <w:rFonts w:ascii="宋体" w:hAnsi="宋体" w:cs="宋体"/>
          <w:b/>
          <w:bCs/>
          <w:color w:val="auto"/>
          <w:kern w:val="0"/>
          <w:sz w:val="24"/>
        </w:rPr>
      </w:pPr>
    </w:p>
    <w:p>
      <w:pPr>
        <w:tabs>
          <w:tab w:val="left" w:pos="900"/>
        </w:tabs>
        <w:spacing w:line="460" w:lineRule="exact"/>
        <w:rPr>
          <w:rFonts w:ascii="宋体" w:hAnsi="宋体" w:cs="宋体"/>
          <w:color w:val="auto"/>
          <w:kern w:val="0"/>
          <w:sz w:val="24"/>
        </w:rPr>
      </w:pP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投标人全称(加盖公章)：</w:t>
      </w:r>
    </w:p>
    <w:p>
      <w:pPr>
        <w:spacing w:line="360" w:lineRule="auto"/>
        <w:ind w:firstLine="4200" w:firstLineChars="1750"/>
        <w:rPr>
          <w:rFonts w:ascii="宋体" w:hAnsi="宋体" w:cs="宋体"/>
          <w:color w:val="auto"/>
          <w:sz w:val="24"/>
        </w:rPr>
      </w:pPr>
      <w:r>
        <w:rPr>
          <w:rFonts w:hint="eastAsia" w:ascii="宋体" w:hAnsi="宋体" w:cs="宋体"/>
          <w:color w:val="auto"/>
          <w:sz w:val="24"/>
        </w:rPr>
        <w:t>投标人代表签字：</w:t>
      </w:r>
    </w:p>
    <w:p>
      <w:pPr>
        <w:spacing w:line="360" w:lineRule="auto"/>
        <w:ind w:firstLine="4200" w:firstLineChars="1750"/>
        <w:rPr>
          <w:rFonts w:ascii="宋体" w:hAnsi="宋体" w:cs="宋体"/>
          <w:color w:val="auto"/>
          <w:sz w:val="24"/>
          <w:u w:val="single"/>
        </w:rPr>
      </w:pPr>
      <w:r>
        <w:rPr>
          <w:rFonts w:hint="eastAsia" w:ascii="宋体" w:hAnsi="宋体" w:cs="宋体"/>
          <w:color w:val="auto"/>
          <w:sz w:val="24"/>
        </w:rPr>
        <w:t>日          期：</w:t>
      </w:r>
    </w:p>
    <w:p>
      <w:pPr>
        <w:pStyle w:val="4"/>
        <w:spacing w:beforeLines="50" w:afterLines="50" w:line="360" w:lineRule="auto"/>
        <w:jc w:val="center"/>
        <w:rPr>
          <w:rFonts w:ascii="宋体" w:hAnsi="宋体" w:eastAsia="宋体" w:cs="宋体"/>
          <w:color w:val="auto"/>
          <w:sz w:val="28"/>
          <w:szCs w:val="28"/>
        </w:rPr>
      </w:pPr>
      <w:r>
        <w:rPr>
          <w:rFonts w:hint="eastAsia" w:ascii="宋体" w:hAnsi="宋体" w:eastAsia="宋体" w:cs="宋体"/>
          <w:color w:val="auto"/>
          <w:sz w:val="28"/>
          <w:szCs w:val="28"/>
        </w:rPr>
        <w:br w:type="page"/>
      </w:r>
      <w:bookmarkStart w:id="348" w:name="_Toc23650"/>
      <w:bookmarkStart w:id="349" w:name="_Toc53694425"/>
      <w:bookmarkStart w:id="350" w:name="_Toc53649638"/>
      <w:bookmarkStart w:id="351" w:name="_Toc17974"/>
      <w:bookmarkStart w:id="352" w:name="_Toc54955427"/>
      <w:r>
        <w:rPr>
          <w:rFonts w:hint="eastAsia" w:ascii="宋体" w:hAnsi="宋体" w:eastAsia="宋体" w:cs="宋体"/>
          <w:color w:val="auto"/>
          <w:sz w:val="28"/>
          <w:szCs w:val="28"/>
          <w:lang w:val="en-US" w:eastAsia="zh-CN"/>
        </w:rPr>
        <w:t>9.</w:t>
      </w:r>
      <w:r>
        <w:rPr>
          <w:rFonts w:hint="eastAsia" w:ascii="宋体" w:hAnsi="宋体" w:eastAsia="宋体" w:cs="宋体"/>
          <w:color w:val="auto"/>
          <w:sz w:val="28"/>
          <w:szCs w:val="28"/>
        </w:rPr>
        <w:t>技术规格和商务偏离表</w:t>
      </w:r>
      <w:bookmarkEnd w:id="206"/>
      <w:bookmarkEnd w:id="207"/>
      <w:bookmarkEnd w:id="208"/>
      <w:bookmarkEnd w:id="209"/>
      <w:bookmarkEnd w:id="344"/>
      <w:bookmarkEnd w:id="345"/>
      <w:bookmarkEnd w:id="346"/>
      <w:bookmarkEnd w:id="347"/>
      <w:bookmarkEnd w:id="348"/>
      <w:bookmarkEnd w:id="349"/>
      <w:bookmarkEnd w:id="350"/>
      <w:bookmarkEnd w:id="351"/>
      <w:bookmarkEnd w:id="352"/>
    </w:p>
    <w:p>
      <w:pPr>
        <w:pStyle w:val="4"/>
        <w:spacing w:beforeLines="50" w:afterLines="50" w:line="360" w:lineRule="auto"/>
        <w:ind w:firstLine="562" w:firstLineChars="200"/>
        <w:rPr>
          <w:rFonts w:ascii="宋体" w:hAnsi="宋体" w:eastAsia="宋体" w:cs="宋体"/>
          <w:color w:val="auto"/>
          <w:sz w:val="28"/>
          <w:szCs w:val="28"/>
        </w:rPr>
      </w:pPr>
    </w:p>
    <w:p>
      <w:pPr>
        <w:spacing w:line="360" w:lineRule="auto"/>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ab/>
      </w:r>
      <w:r>
        <w:rPr>
          <w:rFonts w:hint="eastAsia" w:ascii="宋体" w:hAnsi="宋体" w:cs="宋体"/>
          <w:color w:val="auto"/>
          <w:sz w:val="24"/>
          <w:u w:val="single"/>
        </w:rPr>
        <w:t>　　　　　　　　　　　</w:t>
      </w:r>
      <w:r>
        <w:rPr>
          <w:rFonts w:hint="eastAsia" w:ascii="宋体" w:hAnsi="宋体" w:cs="宋体"/>
          <w:color w:val="auto"/>
          <w:sz w:val="24"/>
          <w:lang w:val="en-US" w:eastAsia="zh-CN"/>
        </w:rPr>
        <w:t xml:space="preserve">   </w:t>
      </w:r>
      <w:r>
        <w:rPr>
          <w:rFonts w:hint="eastAsia" w:ascii="宋体" w:hAnsi="宋体" w:cs="宋体"/>
          <w:color w:val="auto"/>
          <w:sz w:val="24"/>
        </w:rPr>
        <w:t>招标编号∶</w:t>
      </w:r>
      <w:r>
        <w:rPr>
          <w:rFonts w:hint="eastAsia" w:ascii="宋体" w:hAnsi="宋体" w:cs="宋体"/>
          <w:color w:val="auto"/>
          <w:sz w:val="24"/>
          <w:u w:val="single"/>
        </w:rPr>
        <w:tab/>
      </w:r>
      <w:r>
        <w:rPr>
          <w:rFonts w:hint="eastAsia" w:ascii="宋体" w:hAnsi="宋体" w:cs="宋体"/>
          <w:color w:val="auto"/>
          <w:sz w:val="24"/>
          <w:u w:val="single"/>
        </w:rPr>
        <w:t>　　　　　　　　　　　　</w:t>
      </w:r>
    </w:p>
    <w:tbl>
      <w:tblPr>
        <w:tblStyle w:val="41"/>
        <w:tblW w:w="8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3402"/>
        <w:gridCol w:w="2584"/>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auto"/>
                <w:sz w:val="24"/>
              </w:rPr>
            </w:pPr>
            <w:r>
              <w:rPr>
                <w:rFonts w:hint="eastAsia" w:ascii="宋体" w:hAnsi="宋体" w:cs="宋体"/>
                <w:color w:val="auto"/>
                <w:sz w:val="24"/>
              </w:rPr>
              <w:t>条款号</w:t>
            </w: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招标文件要求</w:t>
            </w: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投标响应</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r>
              <w:rPr>
                <w:rFonts w:hint="eastAsia" w:ascii="宋体" w:hAnsi="宋体" w:cs="宋体"/>
                <w:color w:val="auto"/>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34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25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c>
          <w:tcPr>
            <w:tcW w:w="15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rPr>
            </w:pPr>
          </w:p>
        </w:tc>
      </w:tr>
    </w:tbl>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注：</w:t>
      </w:r>
    </w:p>
    <w:p>
      <w:pPr>
        <w:spacing w:line="360" w:lineRule="auto"/>
        <w:ind w:firstLine="480" w:firstLineChars="200"/>
        <w:rPr>
          <w:rFonts w:ascii="宋体" w:hAnsi="宋体" w:cs="宋体"/>
          <w:color w:val="auto"/>
          <w:sz w:val="24"/>
        </w:rPr>
      </w:pPr>
      <w:r>
        <w:rPr>
          <w:rFonts w:hint="eastAsia" w:ascii="宋体" w:hAnsi="宋体" w:cs="宋体"/>
          <w:color w:val="auto"/>
          <w:sz w:val="24"/>
        </w:rPr>
        <w:t>1、投标人根据招标要求逐条说明投标响应情况。</w:t>
      </w:r>
    </w:p>
    <w:p>
      <w:pPr>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kern w:val="0"/>
          <w:sz w:val="24"/>
        </w:rPr>
        <w:t>投标人应对招标文件各项技术要求进行逐条逐项的答复、说明、解释，未提供技术规格偏离表的，技术评审的相关项扣分或不能得分，且其一旦中标，则</w:t>
      </w:r>
      <w:r>
        <w:rPr>
          <w:rFonts w:hint="eastAsia" w:ascii="宋体" w:hAnsi="宋体" w:cs="宋体"/>
          <w:color w:val="auto"/>
          <w:sz w:val="24"/>
        </w:rPr>
        <w:t>认为投标人接受招标文件的要求。</w:t>
      </w:r>
    </w:p>
    <w:p>
      <w:pPr>
        <w:spacing w:line="360" w:lineRule="auto"/>
        <w:ind w:firstLine="480" w:firstLineChars="200"/>
        <w:rPr>
          <w:rFonts w:ascii="宋体" w:hAnsi="宋体" w:cs="宋体"/>
          <w:color w:val="auto"/>
          <w:sz w:val="24"/>
        </w:rPr>
      </w:pPr>
      <w:r>
        <w:rPr>
          <w:rFonts w:hint="eastAsia" w:ascii="宋体" w:hAnsi="宋体" w:cs="宋体"/>
          <w:color w:val="auto"/>
          <w:sz w:val="24"/>
        </w:rPr>
        <w:t>3、投</w:t>
      </w:r>
      <w:r>
        <w:rPr>
          <w:rFonts w:hint="eastAsia" w:ascii="宋体" w:hAnsi="宋体" w:cs="宋体"/>
          <w:color w:val="auto"/>
          <w:spacing w:val="-4"/>
          <w:sz w:val="24"/>
        </w:rPr>
        <w:t>标人应如实表述其技术指标，如投标人复制招标文件的技术规格作为其投标文件组成内容的，评标委员会将对其作出不利的评审</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4、投标人存在弄虚作假行为的，将依法承担相应的法律责任。</w:t>
      </w:r>
    </w:p>
    <w:p>
      <w:pPr>
        <w:spacing w:line="360" w:lineRule="auto"/>
        <w:rPr>
          <w:rFonts w:ascii="宋体" w:hAnsi="宋体" w:cs="宋体"/>
          <w:color w:val="auto"/>
          <w:sz w:val="24"/>
        </w:rPr>
      </w:pPr>
    </w:p>
    <w:p>
      <w:pPr>
        <w:spacing w:line="360" w:lineRule="auto"/>
        <w:rPr>
          <w:rFonts w:ascii="宋体" w:hAnsi="宋体" w:cs="宋体"/>
          <w:color w:val="auto"/>
          <w:sz w:val="24"/>
          <w:u w:val="single"/>
        </w:rPr>
      </w:pPr>
      <w:r>
        <w:rPr>
          <w:rFonts w:hint="eastAsia" w:ascii="宋体" w:hAnsi="宋体" w:cs="宋体"/>
          <w:color w:val="auto"/>
          <w:sz w:val="24"/>
          <w:szCs w:val="20"/>
        </w:rPr>
        <w:t>投标人代表签字：</w:t>
      </w:r>
    </w:p>
    <w:p>
      <w:pPr>
        <w:pStyle w:val="4"/>
        <w:spacing w:beforeLines="50" w:afterLines="50" w:line="360" w:lineRule="auto"/>
        <w:ind w:firstLine="480" w:firstLineChars="200"/>
        <w:jc w:val="center"/>
        <w:rPr>
          <w:rFonts w:ascii="宋体" w:hAnsi="宋体" w:eastAsia="宋体" w:cs="宋体"/>
          <w:color w:val="auto"/>
        </w:rPr>
      </w:pPr>
      <w:bookmarkStart w:id="353" w:name="_Toc44362922"/>
      <w:bookmarkStart w:id="354" w:name="_Toc44252988"/>
      <w:bookmarkStart w:id="355" w:name="_Toc38918008"/>
      <w:bookmarkStart w:id="356" w:name="_Toc374971689"/>
      <w:bookmarkStart w:id="357" w:name="_Toc35357014"/>
      <w:r>
        <w:rPr>
          <w:rFonts w:hint="eastAsia" w:ascii="宋体" w:hAnsi="宋体" w:eastAsia="宋体" w:cs="宋体"/>
          <w:b w:val="0"/>
          <w:bCs w:val="0"/>
          <w:color w:val="auto"/>
          <w:sz w:val="24"/>
          <w:szCs w:val="22"/>
          <w:u w:val="single"/>
        </w:rPr>
        <w:br w:type="page"/>
      </w:r>
      <w:bookmarkStart w:id="358" w:name="_Toc53649639"/>
      <w:bookmarkStart w:id="359" w:name="_Toc5871"/>
      <w:bookmarkStart w:id="360" w:name="_Toc53694426"/>
      <w:bookmarkStart w:id="361" w:name="_Toc54955428"/>
      <w:bookmarkStart w:id="362" w:name="_Toc10677"/>
      <w:r>
        <w:rPr>
          <w:rFonts w:hint="eastAsia" w:ascii="宋体" w:hAnsi="宋体" w:eastAsia="宋体" w:cs="宋体"/>
          <w:color w:val="auto"/>
          <w:sz w:val="28"/>
          <w:szCs w:val="28"/>
          <w:lang w:val="en-US" w:eastAsia="zh-CN"/>
        </w:rPr>
        <w:t>10.投标</w:t>
      </w:r>
      <w:r>
        <w:rPr>
          <w:rFonts w:hint="eastAsia" w:ascii="宋体" w:hAnsi="宋体" w:eastAsia="宋体" w:cs="宋体"/>
          <w:color w:val="auto"/>
          <w:sz w:val="28"/>
          <w:szCs w:val="28"/>
        </w:rPr>
        <w:t>人的资格证明文件</w:t>
      </w:r>
      <w:bookmarkEnd w:id="353"/>
      <w:bookmarkEnd w:id="354"/>
      <w:bookmarkEnd w:id="355"/>
      <w:bookmarkEnd w:id="356"/>
      <w:bookmarkEnd w:id="357"/>
      <w:bookmarkEnd w:id="358"/>
      <w:bookmarkEnd w:id="359"/>
      <w:bookmarkEnd w:id="360"/>
      <w:bookmarkEnd w:id="361"/>
      <w:bookmarkEnd w:id="362"/>
    </w:p>
    <w:p>
      <w:pPr>
        <w:spacing w:line="360" w:lineRule="auto"/>
        <w:jc w:val="center"/>
        <w:rPr>
          <w:rFonts w:ascii="宋体" w:hAnsi="宋体" w:eastAsia="宋体" w:cs="宋体"/>
          <w:color w:val="auto"/>
          <w:sz w:val="24"/>
        </w:rPr>
      </w:pPr>
      <w:bookmarkStart w:id="363" w:name="_Toc44362923"/>
      <w:bookmarkStart w:id="364" w:name="_Toc374971690"/>
      <w:bookmarkStart w:id="365" w:name="_Toc35357015"/>
      <w:bookmarkStart w:id="366" w:name="_Toc44252989"/>
      <w:bookmarkStart w:id="367" w:name="_Toc38918009"/>
      <w:r>
        <w:rPr>
          <w:rFonts w:hint="eastAsia" w:ascii="宋体" w:hAnsi="宋体" w:cs="宋体"/>
          <w:b/>
          <w:bCs/>
          <w:color w:val="auto"/>
          <w:sz w:val="28"/>
          <w:szCs w:val="28"/>
        </w:rPr>
        <w:t>关于资格的声明函</w:t>
      </w:r>
      <w:bookmarkEnd w:id="363"/>
      <w:bookmarkEnd w:id="364"/>
      <w:bookmarkEnd w:id="365"/>
      <w:bookmarkEnd w:id="366"/>
      <w:bookmarkEnd w:id="367"/>
    </w:p>
    <w:p>
      <w:pPr>
        <w:spacing w:line="360" w:lineRule="auto"/>
        <w:rPr>
          <w:rFonts w:ascii="宋体" w:hAnsi="宋体" w:cs="宋体"/>
          <w:color w:val="auto"/>
          <w:sz w:val="24"/>
        </w:rPr>
      </w:pPr>
      <w:r>
        <w:rPr>
          <w:rFonts w:hint="eastAsia" w:ascii="宋体" w:hAnsi="宋体" w:cs="宋体"/>
          <w:color w:val="auto"/>
          <w:sz w:val="24"/>
          <w:u w:val="single"/>
        </w:rPr>
        <w:t>厦门路桥百城管理咨询有限公司</w:t>
      </w:r>
      <w:r>
        <w:rPr>
          <w:rFonts w:hint="eastAsia" w:ascii="宋体" w:hAnsi="宋体" w:cs="宋体"/>
          <w:color w:val="auto"/>
          <w:sz w:val="24"/>
        </w:rPr>
        <w:t>：</w:t>
      </w:r>
    </w:p>
    <w:p>
      <w:pPr>
        <w:spacing w:line="360" w:lineRule="auto"/>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关于贵方年月日第 （招标编号）投标邀请，本签字人愿意参加投标，提供招标文件“招标项目一览表”中规定的（合同包/品目号）（项目名称），并证明提交的下列文件和说明是准确的和真实的。</w:t>
      </w:r>
    </w:p>
    <w:p>
      <w:pPr>
        <w:spacing w:line="360" w:lineRule="auto"/>
        <w:ind w:firstLine="480" w:firstLineChars="200"/>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1．本签字人确认资格文件中的说明以及投标文件中所有提交的文件和材料是真实的、准确的。</w:t>
      </w:r>
    </w:p>
    <w:p>
      <w:pPr>
        <w:spacing w:line="360" w:lineRule="auto"/>
        <w:ind w:firstLine="480" w:firstLineChars="200"/>
        <w:rPr>
          <w:rFonts w:ascii="宋体" w:hAnsi="宋体" w:cs="宋体"/>
          <w:color w:val="auto"/>
          <w:sz w:val="24"/>
        </w:rPr>
      </w:pPr>
      <w:r>
        <w:rPr>
          <w:rFonts w:hint="eastAsia" w:ascii="宋体" w:hAnsi="宋体" w:cs="宋体"/>
          <w:color w:val="auto"/>
          <w:sz w:val="24"/>
        </w:rPr>
        <w:t>2．我方的资格声明正本一份，副本二份，随投标文件一同递交。</w:t>
      </w: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投标人（全称并加盖投标人公章）：</w:t>
      </w:r>
    </w:p>
    <w:p>
      <w:pPr>
        <w:spacing w:line="360" w:lineRule="auto"/>
        <w:rPr>
          <w:rFonts w:ascii="宋体" w:hAnsi="宋体" w:cs="宋体"/>
          <w:color w:val="auto"/>
          <w:sz w:val="24"/>
        </w:rPr>
      </w:pPr>
      <w:r>
        <w:rPr>
          <w:rFonts w:hint="eastAsia" w:ascii="宋体" w:hAnsi="宋体" w:cs="宋体"/>
          <w:color w:val="auto"/>
          <w:sz w:val="24"/>
        </w:rPr>
        <w:t>地     址：</w:t>
      </w:r>
    </w:p>
    <w:p>
      <w:pPr>
        <w:spacing w:line="360" w:lineRule="auto"/>
        <w:rPr>
          <w:rFonts w:ascii="宋体" w:hAnsi="宋体" w:cs="宋体"/>
          <w:color w:val="auto"/>
          <w:sz w:val="24"/>
        </w:rPr>
      </w:pPr>
      <w:r>
        <w:rPr>
          <w:rFonts w:hint="eastAsia" w:ascii="宋体" w:hAnsi="宋体" w:cs="宋体"/>
          <w:color w:val="auto"/>
          <w:sz w:val="24"/>
        </w:rPr>
        <w:t>邮     编：</w:t>
      </w:r>
    </w:p>
    <w:p>
      <w:pPr>
        <w:spacing w:line="360" w:lineRule="auto"/>
        <w:rPr>
          <w:rFonts w:ascii="宋体" w:hAnsi="宋体" w:cs="宋体"/>
          <w:color w:val="auto"/>
          <w:sz w:val="24"/>
        </w:rPr>
      </w:pPr>
      <w:r>
        <w:rPr>
          <w:rFonts w:hint="eastAsia" w:ascii="宋体" w:hAnsi="宋体" w:cs="宋体"/>
          <w:color w:val="auto"/>
          <w:sz w:val="24"/>
        </w:rPr>
        <w:t>电 话/传 真：</w:t>
      </w:r>
    </w:p>
    <w:p>
      <w:pPr>
        <w:spacing w:line="360" w:lineRule="auto"/>
        <w:rPr>
          <w:rFonts w:ascii="宋体" w:hAnsi="宋体" w:cs="宋体"/>
          <w:color w:val="auto"/>
          <w:u w:val="single"/>
        </w:rPr>
      </w:pPr>
      <w:r>
        <w:rPr>
          <w:rFonts w:hint="eastAsia" w:ascii="宋体" w:hAnsi="宋体" w:cs="宋体"/>
          <w:color w:val="auto"/>
          <w:sz w:val="24"/>
          <w:szCs w:val="22"/>
        </w:rPr>
        <w:t>投标人代表签字</w:t>
      </w:r>
      <w:r>
        <w:rPr>
          <w:rFonts w:hint="eastAsia" w:ascii="宋体" w:hAnsi="宋体" w:cs="宋体"/>
          <w:color w:val="auto"/>
          <w:szCs w:val="20"/>
        </w:rPr>
        <w:t>：</w:t>
      </w:r>
    </w:p>
    <w:p>
      <w:pPr>
        <w:spacing w:line="360" w:lineRule="auto"/>
        <w:ind w:firstLine="420" w:firstLineChars="200"/>
        <w:rPr>
          <w:rFonts w:ascii="宋体" w:hAnsi="宋体" w:cs="宋体"/>
          <w:color w:val="auto"/>
          <w:sz w:val="24"/>
          <w:u w:val="single"/>
        </w:rPr>
      </w:pPr>
      <w:bookmarkStart w:id="368" w:name="_Toc44362924"/>
      <w:bookmarkStart w:id="369" w:name="_Toc374971691"/>
      <w:bookmarkStart w:id="370" w:name="_Toc44252990"/>
      <w:bookmarkStart w:id="371" w:name="_Toc35357016"/>
      <w:bookmarkStart w:id="372" w:name="_Toc38918010"/>
      <w:r>
        <w:rPr>
          <w:rFonts w:hint="eastAsia" w:ascii="宋体" w:hAnsi="宋体" w:cs="宋体"/>
          <w:color w:val="auto"/>
          <w:u w:val="single"/>
        </w:rPr>
        <w:br w:type="page"/>
      </w:r>
      <w:bookmarkEnd w:id="368"/>
      <w:bookmarkEnd w:id="369"/>
      <w:bookmarkEnd w:id="370"/>
      <w:bookmarkEnd w:id="371"/>
      <w:bookmarkEnd w:id="372"/>
    </w:p>
    <w:p>
      <w:pPr>
        <w:jc w:val="center"/>
        <w:rPr>
          <w:rFonts w:ascii="宋体" w:hAnsi="宋体" w:cs="宋体"/>
          <w:b/>
          <w:bCs/>
          <w:color w:val="auto"/>
          <w:sz w:val="28"/>
          <w:szCs w:val="28"/>
        </w:rPr>
      </w:pPr>
      <w:bookmarkStart w:id="373" w:name="_Toc374971692"/>
      <w:bookmarkStart w:id="374" w:name="_Toc44252991"/>
      <w:bookmarkStart w:id="375" w:name="_Toc35357017"/>
      <w:bookmarkStart w:id="376" w:name="_Toc44362925"/>
      <w:bookmarkStart w:id="377" w:name="_Toc38918011"/>
      <w:r>
        <w:rPr>
          <w:rFonts w:hint="eastAsia" w:ascii="宋体" w:hAnsi="宋体" w:cs="宋体"/>
          <w:b/>
          <w:bCs/>
          <w:color w:val="auto"/>
          <w:sz w:val="28"/>
          <w:szCs w:val="28"/>
        </w:rPr>
        <w:t>法人授权书</w:t>
      </w:r>
      <w:bookmarkEnd w:id="373"/>
      <w:bookmarkEnd w:id="374"/>
      <w:bookmarkEnd w:id="375"/>
      <w:bookmarkEnd w:id="376"/>
      <w:bookmarkEnd w:id="377"/>
    </w:p>
    <w:p>
      <w:pPr>
        <w:pStyle w:val="114"/>
        <w:tabs>
          <w:tab w:val="left" w:pos="420"/>
          <w:tab w:val="left" w:pos="1500"/>
          <w:tab w:val="clear" w:pos="1260"/>
        </w:tabs>
        <w:adjustRightInd/>
        <w:spacing w:before="0" w:line="360" w:lineRule="auto"/>
        <w:ind w:left="0" w:firstLine="0"/>
        <w:outlineLvl w:val="9"/>
        <w:rPr>
          <w:rFonts w:ascii="宋体" w:hAnsi="宋体" w:eastAsia="宋体" w:cs="宋体"/>
          <w:color w:val="auto"/>
          <w:sz w:val="24"/>
          <w:szCs w:val="24"/>
        </w:rPr>
      </w:pPr>
    </w:p>
    <w:p>
      <w:pPr>
        <w:spacing w:line="360" w:lineRule="auto"/>
        <w:rPr>
          <w:rFonts w:ascii="宋体" w:hAnsi="宋体" w:cs="宋体"/>
          <w:color w:val="auto"/>
          <w:sz w:val="24"/>
        </w:rPr>
      </w:pPr>
      <w:r>
        <w:rPr>
          <w:rFonts w:hint="eastAsia" w:ascii="宋体" w:hAnsi="宋体" w:cs="宋体"/>
          <w:color w:val="auto"/>
          <w:sz w:val="24"/>
        </w:rPr>
        <w:t>厦门路桥百城管理咨询有限公司：</w:t>
      </w:r>
    </w:p>
    <w:p>
      <w:pPr>
        <w:pStyle w:val="22"/>
        <w:snapToGrid w:val="0"/>
        <w:spacing w:line="360" w:lineRule="auto"/>
        <w:ind w:firstLine="480" w:firstLineChars="200"/>
        <w:jc w:val="left"/>
        <w:rPr>
          <w:rFonts w:hAnsi="宋体" w:cs="宋体"/>
          <w:color w:val="auto"/>
          <w:sz w:val="24"/>
        </w:rPr>
      </w:pPr>
      <w:r>
        <w:rPr>
          <w:rFonts w:hint="eastAsia" w:hAnsi="宋体" w:cs="宋体"/>
          <w:color w:val="auto"/>
          <w:sz w:val="24"/>
          <w:u w:val="single"/>
        </w:rPr>
        <w:t>（投标人全称）</w:t>
      </w:r>
      <w:r>
        <w:rPr>
          <w:rFonts w:hint="eastAsia" w:hAnsi="宋体" w:cs="宋体"/>
          <w:color w:val="auto"/>
          <w:sz w:val="24"/>
        </w:rPr>
        <w:t>授权</w:t>
      </w:r>
      <w:r>
        <w:rPr>
          <w:rFonts w:hint="eastAsia" w:hAnsi="宋体" w:cs="宋体"/>
          <w:color w:val="auto"/>
          <w:sz w:val="24"/>
          <w:u w:val="single"/>
        </w:rPr>
        <w:t xml:space="preserve">  （投标人代表姓名）</w:t>
      </w:r>
      <w:r>
        <w:rPr>
          <w:rFonts w:hint="eastAsia" w:hAnsi="宋体" w:cs="宋体"/>
          <w:color w:val="auto"/>
          <w:sz w:val="24"/>
        </w:rPr>
        <w:t>为投标人代表，代表本公司参加贵司组织的项目（招标编号）招标活动，全权代表本公司处理投标过程的一切事宜，包括但不限于：投标、参与开标、招标、签约等。投标人代表在投标过程中所签署的一切文件和处理与之有关的一切事务，本公司均予以认可并对此承担责任。投标人代表无转委托权。特此授权。</w:t>
      </w:r>
    </w:p>
    <w:p>
      <w:pPr>
        <w:pStyle w:val="22"/>
        <w:snapToGrid w:val="0"/>
        <w:spacing w:line="360" w:lineRule="auto"/>
        <w:ind w:firstLine="480" w:firstLineChars="200"/>
        <w:jc w:val="left"/>
        <w:rPr>
          <w:rFonts w:hAnsi="宋体" w:cs="宋体"/>
          <w:color w:val="auto"/>
          <w:sz w:val="24"/>
        </w:rPr>
      </w:pPr>
      <w:r>
        <w:rPr>
          <w:rFonts w:hint="eastAsia" w:hAnsi="宋体" w:cs="宋体"/>
          <w:color w:val="auto"/>
          <w:sz w:val="24"/>
        </w:rPr>
        <w:t>本授权书自出具之日起生效。</w:t>
      </w:r>
    </w:p>
    <w:p>
      <w:pPr>
        <w:spacing w:line="360" w:lineRule="auto"/>
        <w:ind w:firstLine="480" w:firstLineChars="200"/>
        <w:rPr>
          <w:rFonts w:ascii="宋体" w:hAnsi="宋体" w:cs="宋体"/>
          <w:color w:val="auto"/>
          <w:sz w:val="24"/>
        </w:rPr>
      </w:pPr>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投标人代表：</w:t>
      </w:r>
      <w:r>
        <w:rPr>
          <w:rFonts w:hint="eastAsia" w:ascii="宋体" w:hAnsi="宋体" w:cs="宋体"/>
          <w:color w:val="auto"/>
          <w:sz w:val="24"/>
          <w:u w:val="single"/>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身份证号：</w:t>
      </w:r>
      <w:r>
        <w:rPr>
          <w:rFonts w:hint="eastAsia" w:ascii="宋体" w:hAnsi="宋体" w:cs="宋体"/>
          <w:color w:val="auto"/>
          <w:sz w:val="24"/>
          <w:u w:val="single"/>
        </w:rPr>
        <w:t xml:space="preserve">         　　　</w:t>
      </w:r>
    </w:p>
    <w:p>
      <w:pPr>
        <w:spacing w:line="360" w:lineRule="auto"/>
        <w:rPr>
          <w:rFonts w:hint="default" w:ascii="宋体" w:hAnsi="宋体" w:eastAsia="宋体" w:cs="宋体"/>
          <w:color w:val="auto"/>
          <w:sz w:val="24"/>
          <w:lang w:val="en-US" w:eastAsia="zh-CN"/>
        </w:rPr>
      </w:pPr>
      <w:r>
        <w:rPr>
          <w:rFonts w:hint="eastAsia" w:ascii="宋体" w:hAnsi="宋体" w:cs="宋体"/>
          <w:color w:val="auto"/>
          <w:sz w:val="24"/>
        </w:rPr>
        <w:t>单位：</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部门：</w:t>
      </w:r>
      <w:r>
        <w:rPr>
          <w:rFonts w:hint="eastAsia" w:ascii="宋体" w:hAnsi="宋体" w:cs="宋体"/>
          <w:color w:val="auto"/>
          <w:sz w:val="24"/>
          <w:u w:val="single"/>
        </w:rPr>
        <w:t xml:space="preserve">         　　　</w:t>
      </w:r>
      <w:r>
        <w:rPr>
          <w:rFonts w:hint="eastAsia" w:ascii="宋体" w:hAnsi="宋体" w:cs="宋体"/>
          <w:color w:val="auto"/>
          <w:sz w:val="24"/>
        </w:rPr>
        <w:t xml:space="preserve"> 职务：</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p>
    <w:p>
      <w:pPr>
        <w:spacing w:line="360" w:lineRule="auto"/>
        <w:rPr>
          <w:rFonts w:ascii="宋体" w:hAnsi="宋体" w:cs="宋体"/>
          <w:color w:val="auto"/>
          <w:sz w:val="24"/>
        </w:rPr>
      </w:pPr>
      <w:r>
        <w:rPr>
          <w:rFonts w:hint="eastAsia" w:ascii="宋体" w:hAnsi="宋体" w:cs="宋体"/>
          <w:color w:val="auto"/>
          <w:sz w:val="24"/>
        </w:rPr>
        <w:t>详细通讯地址：</w:t>
      </w:r>
      <w:r>
        <w:rPr>
          <w:rFonts w:hint="eastAsia" w:ascii="宋体" w:hAnsi="宋体" w:cs="宋体"/>
          <w:color w:val="auto"/>
          <w:sz w:val="24"/>
          <w:u w:val="single"/>
        </w:rPr>
        <w:t xml:space="preserve">         　　　　　　　　 </w:t>
      </w:r>
      <w:r>
        <w:rPr>
          <w:rFonts w:hint="eastAsia" w:ascii="宋体" w:hAnsi="宋体" w:cs="宋体"/>
          <w:color w:val="auto"/>
          <w:sz w:val="24"/>
        </w:rPr>
        <w:t>邮政编码:</w:t>
      </w:r>
    </w:p>
    <w:p>
      <w:pPr>
        <w:spacing w:line="360" w:lineRule="auto"/>
        <w:rPr>
          <w:rFonts w:ascii="宋体" w:hAnsi="宋体" w:cs="宋体"/>
          <w:color w:val="auto"/>
          <w:sz w:val="24"/>
        </w:rPr>
      </w:pPr>
      <w:r>
        <w:rPr>
          <w:rFonts w:hint="eastAsia" w:ascii="宋体" w:hAnsi="宋体" w:cs="宋体"/>
          <w:color w:val="auto"/>
          <w:sz w:val="24"/>
        </w:rPr>
        <w:t>电话：</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rPr>
        <w:t>　　　移动电话：__________________________</w:t>
      </w:r>
    </w:p>
    <w:p>
      <w:pPr>
        <w:spacing w:line="360" w:lineRule="auto"/>
        <w:rPr>
          <w:rFonts w:ascii="宋体" w:hAnsi="宋体" w:cs="宋体"/>
          <w:color w:val="auto"/>
          <w:sz w:val="24"/>
        </w:rPr>
      </w:pPr>
    </w:p>
    <w:p>
      <w:pPr>
        <w:spacing w:line="360" w:lineRule="auto"/>
        <w:rPr>
          <w:rFonts w:ascii="宋体" w:hAnsi="宋体" w:cs="宋体"/>
          <w:b/>
          <w:bCs/>
          <w:color w:val="auto"/>
          <w:sz w:val="24"/>
        </w:rPr>
      </w:pPr>
      <w:r>
        <w:rPr>
          <w:rFonts w:hint="eastAsia" w:ascii="宋体" w:hAnsi="宋体" w:cs="宋体"/>
          <w:b/>
          <w:bCs/>
          <w:color w:val="auto"/>
          <w:sz w:val="24"/>
        </w:rPr>
        <w:t>附：被授权人身份证件</w:t>
      </w:r>
    </w:p>
    <w:p>
      <w:pPr>
        <w:spacing w:line="360" w:lineRule="auto"/>
        <w:rPr>
          <w:rFonts w:ascii="宋体" w:hAnsi="宋体" w:cs="宋体"/>
          <w:color w:val="auto"/>
          <w:sz w:val="24"/>
        </w:rPr>
      </w:pPr>
    </w:p>
    <w:p>
      <w:pPr>
        <w:spacing w:line="360" w:lineRule="auto"/>
        <w:ind w:firstLine="3614" w:firstLineChars="1500"/>
        <w:rPr>
          <w:rFonts w:ascii="宋体" w:hAnsi="宋体" w:cs="宋体"/>
          <w:b/>
          <w:color w:val="auto"/>
          <w:sz w:val="24"/>
        </w:rPr>
      </w:pPr>
      <w:r>
        <w:rPr>
          <w:rFonts w:hint="eastAsia" w:ascii="宋体" w:hAnsi="宋体" w:cs="宋体"/>
          <w:b/>
          <w:color w:val="auto"/>
          <w:sz w:val="24"/>
        </w:rPr>
        <w:t>授权方</w:t>
      </w:r>
    </w:p>
    <w:p>
      <w:pPr>
        <w:spacing w:line="360" w:lineRule="auto"/>
        <w:ind w:firstLine="3960" w:firstLineChars="1650"/>
        <w:rPr>
          <w:rFonts w:ascii="宋体" w:hAnsi="宋体" w:cs="宋体"/>
          <w:color w:val="auto"/>
          <w:sz w:val="24"/>
        </w:rPr>
      </w:pPr>
      <w:r>
        <w:rPr>
          <w:rFonts w:hint="eastAsia" w:ascii="宋体" w:hAnsi="宋体" w:cs="宋体"/>
          <w:color w:val="auto"/>
          <w:sz w:val="24"/>
        </w:rPr>
        <w:t>投标人（全称并加盖投标人公章）：</w:t>
      </w:r>
    </w:p>
    <w:p>
      <w:pPr>
        <w:spacing w:line="360" w:lineRule="auto"/>
        <w:ind w:firstLine="3960" w:firstLineChars="1650"/>
        <w:rPr>
          <w:rFonts w:ascii="宋体" w:hAnsi="宋体" w:cs="宋体"/>
          <w:color w:val="auto"/>
          <w:sz w:val="24"/>
        </w:rPr>
      </w:pPr>
      <w:r>
        <w:rPr>
          <w:rFonts w:hint="eastAsia" w:ascii="宋体" w:hAnsi="宋体" w:cs="宋体"/>
          <w:color w:val="auto"/>
          <w:sz w:val="24"/>
        </w:rPr>
        <w:t>日     期：</w:t>
      </w:r>
    </w:p>
    <w:p>
      <w:pPr>
        <w:spacing w:line="360" w:lineRule="auto"/>
        <w:ind w:firstLine="3735" w:firstLineChars="1550"/>
        <w:rPr>
          <w:rFonts w:ascii="宋体" w:hAnsi="宋体" w:cs="宋体"/>
          <w:b/>
          <w:color w:val="auto"/>
          <w:sz w:val="24"/>
        </w:rPr>
      </w:pPr>
    </w:p>
    <w:p>
      <w:pPr>
        <w:spacing w:line="360" w:lineRule="auto"/>
        <w:ind w:firstLine="3735" w:firstLineChars="1550"/>
        <w:rPr>
          <w:rFonts w:ascii="宋体" w:hAnsi="宋体" w:cs="宋体"/>
          <w:b/>
          <w:color w:val="auto"/>
          <w:sz w:val="24"/>
        </w:rPr>
      </w:pPr>
      <w:r>
        <w:rPr>
          <w:rFonts w:hint="eastAsia" w:ascii="宋体" w:hAnsi="宋体" w:cs="宋体"/>
          <w:b/>
          <w:color w:val="auto"/>
          <w:sz w:val="24"/>
        </w:rPr>
        <w:t>接受授权方</w:t>
      </w:r>
    </w:p>
    <w:p>
      <w:pPr>
        <w:spacing w:line="360" w:lineRule="auto"/>
        <w:ind w:firstLine="4680" w:firstLineChars="1950"/>
        <w:rPr>
          <w:rFonts w:ascii="宋体" w:hAnsi="宋体" w:cs="宋体"/>
          <w:color w:val="auto"/>
          <w:sz w:val="24"/>
        </w:rPr>
      </w:pPr>
      <w:r>
        <w:rPr>
          <w:rFonts w:hint="eastAsia" w:ascii="宋体" w:hAnsi="宋体" w:cs="宋体"/>
          <w:color w:val="auto"/>
          <w:sz w:val="24"/>
        </w:rPr>
        <w:t xml:space="preserve"> 投标人代表签字：</w:t>
      </w:r>
    </w:p>
    <w:p>
      <w:pPr>
        <w:spacing w:line="360" w:lineRule="auto"/>
        <w:ind w:firstLine="4800" w:firstLineChars="2000"/>
        <w:rPr>
          <w:rFonts w:ascii="宋体" w:hAnsi="宋体" w:cs="宋体"/>
          <w:color w:val="auto"/>
          <w:sz w:val="24"/>
          <w:u w:val="single"/>
        </w:rPr>
      </w:pPr>
      <w:r>
        <w:rPr>
          <w:rFonts w:hint="eastAsia" w:ascii="宋体" w:hAnsi="宋体" w:cs="宋体"/>
          <w:color w:val="auto"/>
          <w:sz w:val="24"/>
        </w:rPr>
        <w:t>日     期：</w:t>
      </w:r>
    </w:p>
    <w:p>
      <w:pPr>
        <w:spacing w:line="360" w:lineRule="auto"/>
        <w:jc w:val="both"/>
        <w:rPr>
          <w:rFonts w:ascii="宋体" w:hAnsi="宋体" w:cs="宋体"/>
          <w:b/>
          <w:bCs/>
          <w:color w:val="auto"/>
          <w:sz w:val="24"/>
        </w:rPr>
      </w:pPr>
      <w:bookmarkStart w:id="378" w:name="_Toc352105608"/>
      <w:bookmarkStart w:id="379" w:name="_Toc38918012"/>
      <w:bookmarkStart w:id="380" w:name="_Toc35357018"/>
      <w:bookmarkStart w:id="381" w:name="_Toc44252992"/>
      <w:bookmarkStart w:id="382" w:name="_Toc44362926"/>
      <w:bookmarkStart w:id="383" w:name="_Toc374971693"/>
      <w:r>
        <w:rPr>
          <w:rFonts w:hint="eastAsia" w:ascii="宋体" w:hAnsi="宋体" w:cs="宋体"/>
          <w:b/>
          <w:bCs/>
          <w:color w:val="auto"/>
          <w:sz w:val="28"/>
          <w:szCs w:val="28"/>
        </w:rPr>
        <w:t>[附：被授权人身份证复印件]</w:t>
      </w:r>
    </w:p>
    <w:p>
      <w:pPr>
        <w:jc w:val="center"/>
        <w:rPr>
          <w:rFonts w:ascii="宋体" w:hAnsi="宋体" w:cs="宋体"/>
          <w:b/>
          <w:bCs/>
          <w:color w:val="auto"/>
          <w:sz w:val="28"/>
          <w:szCs w:val="28"/>
        </w:rPr>
      </w:pPr>
      <w:r>
        <w:rPr>
          <w:rFonts w:hint="eastAsia" w:ascii="宋体" w:hAnsi="宋体" w:cs="宋体"/>
          <w:color w:val="auto"/>
        </w:rPr>
        <w:br w:type="page"/>
      </w:r>
      <w:r>
        <w:rPr>
          <w:rFonts w:hint="eastAsia" w:ascii="宋体" w:hAnsi="宋体" w:cs="宋体"/>
          <w:b/>
          <w:bCs/>
          <w:color w:val="auto"/>
          <w:sz w:val="28"/>
          <w:szCs w:val="28"/>
        </w:rPr>
        <w:t>法人营业执照、税务登记证、资信证</w:t>
      </w:r>
      <w:bookmarkEnd w:id="378"/>
      <w:r>
        <w:rPr>
          <w:rFonts w:hint="eastAsia" w:ascii="宋体" w:hAnsi="宋体" w:cs="宋体"/>
          <w:b/>
          <w:bCs/>
          <w:color w:val="auto"/>
          <w:sz w:val="28"/>
          <w:szCs w:val="28"/>
        </w:rPr>
        <w:t>明</w:t>
      </w:r>
      <w:bookmarkEnd w:id="379"/>
      <w:bookmarkEnd w:id="380"/>
      <w:bookmarkEnd w:id="381"/>
      <w:bookmarkEnd w:id="382"/>
      <w:bookmarkEnd w:id="383"/>
    </w:p>
    <w:p>
      <w:pPr>
        <w:spacing w:line="360" w:lineRule="auto"/>
        <w:rPr>
          <w:rFonts w:ascii="宋体" w:hAnsi="宋体" w:cs="宋体"/>
          <w:color w:val="auto"/>
          <w:sz w:val="24"/>
        </w:rPr>
      </w:pPr>
    </w:p>
    <w:p>
      <w:pPr>
        <w:spacing w:line="360" w:lineRule="auto"/>
        <w:rPr>
          <w:rFonts w:ascii="宋体" w:hAnsi="宋体" w:cs="宋体"/>
          <w:color w:val="auto"/>
          <w:sz w:val="24"/>
        </w:rPr>
      </w:pPr>
      <w:r>
        <w:rPr>
          <w:rFonts w:hint="eastAsia" w:ascii="宋体" w:hAnsi="宋体" w:cs="宋体"/>
          <w:color w:val="auto"/>
          <w:sz w:val="24"/>
        </w:rPr>
        <w:t>厦门路桥百城管理咨询有限公司：</w:t>
      </w:r>
    </w:p>
    <w:p>
      <w:pPr>
        <w:spacing w:line="360" w:lineRule="auto"/>
        <w:rPr>
          <w:rFonts w:ascii="宋体" w:hAnsi="宋体" w:cs="宋体"/>
          <w:color w:val="auto"/>
          <w:sz w:val="24"/>
          <w:szCs w:val="20"/>
        </w:rPr>
      </w:pPr>
    </w:p>
    <w:p>
      <w:pPr>
        <w:spacing w:line="360" w:lineRule="auto"/>
        <w:ind w:firstLine="480" w:firstLineChars="200"/>
        <w:rPr>
          <w:rFonts w:ascii="宋体" w:hAnsi="宋体" w:cs="宋体"/>
          <w:color w:val="auto"/>
          <w:sz w:val="24"/>
        </w:rPr>
      </w:pPr>
      <w:r>
        <w:rPr>
          <w:rFonts w:hint="eastAsia" w:ascii="宋体" w:hAnsi="宋体" w:cs="宋体"/>
          <w:color w:val="auto"/>
          <w:sz w:val="24"/>
        </w:rPr>
        <w:t>现附上由（签发机关名称）签发的我方法人营业执照副本复印件，该执照业经年检，真实有效。</w:t>
      </w:r>
    </w:p>
    <w:p>
      <w:pPr>
        <w:spacing w:line="360" w:lineRule="auto"/>
        <w:ind w:firstLine="480" w:firstLineChars="200"/>
        <w:rPr>
          <w:rFonts w:ascii="宋体" w:hAnsi="宋体" w:cs="宋体"/>
          <w:color w:val="auto"/>
          <w:sz w:val="24"/>
        </w:rPr>
      </w:pPr>
    </w:p>
    <w:p>
      <w:pPr>
        <w:spacing w:line="360" w:lineRule="auto"/>
        <w:rPr>
          <w:rFonts w:ascii="宋体" w:hAnsi="宋体" w:cs="宋体"/>
          <w:color w:val="auto"/>
          <w:sz w:val="24"/>
          <w:szCs w:val="20"/>
        </w:rPr>
      </w:pPr>
    </w:p>
    <w:p>
      <w:pPr>
        <w:spacing w:line="360" w:lineRule="auto"/>
        <w:rPr>
          <w:rFonts w:ascii="宋体" w:hAnsi="宋体" w:cs="宋体"/>
          <w:color w:val="auto"/>
          <w:sz w:val="24"/>
        </w:rPr>
      </w:pPr>
      <w:r>
        <w:rPr>
          <w:rFonts w:hint="eastAsia" w:ascii="宋体" w:hAnsi="宋体" w:cs="宋体"/>
          <w:color w:val="auto"/>
          <w:sz w:val="24"/>
        </w:rPr>
        <w:t xml:space="preserve">                         投 标 人（全称并加盖公章）：</w:t>
      </w:r>
    </w:p>
    <w:p>
      <w:pPr>
        <w:spacing w:line="360" w:lineRule="auto"/>
        <w:rPr>
          <w:rFonts w:ascii="宋体" w:hAnsi="宋体" w:cs="宋体"/>
          <w:color w:val="auto"/>
          <w:sz w:val="24"/>
        </w:rPr>
      </w:pPr>
      <w:r>
        <w:rPr>
          <w:rFonts w:hint="eastAsia" w:ascii="宋体" w:hAnsi="宋体" w:cs="宋体"/>
          <w:color w:val="auto"/>
          <w:sz w:val="24"/>
        </w:rPr>
        <w:t xml:space="preserve">                         投标人代表签字：</w:t>
      </w:r>
    </w:p>
    <w:p>
      <w:pPr>
        <w:spacing w:line="360" w:lineRule="auto"/>
        <w:rPr>
          <w:rFonts w:ascii="宋体" w:hAnsi="宋体" w:cs="宋体"/>
          <w:color w:val="auto"/>
        </w:rPr>
      </w:pPr>
      <w:r>
        <w:rPr>
          <w:rFonts w:hint="eastAsia" w:ascii="宋体" w:hAnsi="宋体" w:cs="宋体"/>
          <w:color w:val="auto"/>
          <w:sz w:val="24"/>
        </w:rPr>
        <w:t xml:space="preserve">                         日      期：</w:t>
      </w:r>
    </w:p>
    <w:p>
      <w:pPr>
        <w:spacing w:line="360" w:lineRule="auto"/>
        <w:ind w:firstLine="562" w:firstLineChars="200"/>
        <w:rPr>
          <w:rFonts w:ascii="宋体" w:hAnsi="宋体" w:cs="宋体"/>
          <w:color w:val="auto"/>
          <w:sz w:val="24"/>
        </w:rPr>
      </w:pPr>
      <w:bookmarkStart w:id="384" w:name="_Toc38918014"/>
      <w:bookmarkStart w:id="385" w:name="_Toc44252994"/>
      <w:bookmarkStart w:id="386" w:name="_Toc374971694"/>
      <w:bookmarkStart w:id="387" w:name="_Toc44362928"/>
      <w:bookmarkStart w:id="388" w:name="_Toc35357020"/>
      <w:r>
        <w:rPr>
          <w:rFonts w:hint="eastAsia" w:ascii="宋体" w:hAnsi="宋体" w:cs="宋体"/>
          <w:b/>
          <w:bCs/>
          <w:color w:val="auto"/>
          <w:sz w:val="28"/>
          <w:szCs w:val="28"/>
        </w:rPr>
        <w:br w:type="page"/>
      </w:r>
      <w:bookmarkEnd w:id="384"/>
      <w:bookmarkEnd w:id="385"/>
      <w:bookmarkEnd w:id="386"/>
      <w:bookmarkEnd w:id="387"/>
      <w:bookmarkEnd w:id="388"/>
    </w:p>
    <w:p>
      <w:pPr>
        <w:spacing w:line="360" w:lineRule="auto"/>
        <w:jc w:val="center"/>
        <w:rPr>
          <w:rFonts w:ascii="宋体" w:hAnsi="宋体" w:cs="宋体"/>
          <w:b/>
          <w:color w:val="auto"/>
          <w:sz w:val="28"/>
          <w:szCs w:val="28"/>
        </w:rPr>
      </w:pPr>
      <w:bookmarkStart w:id="389" w:name="_Toc44362930"/>
      <w:bookmarkStart w:id="390" w:name="_Toc44252996"/>
      <w:bookmarkStart w:id="391" w:name="_Toc38918017"/>
      <w:bookmarkStart w:id="392" w:name="_Toc35357023"/>
      <w:bookmarkStart w:id="393" w:name="_Toc374971698"/>
      <w:r>
        <w:rPr>
          <w:rFonts w:hint="eastAsia" w:ascii="宋体" w:hAnsi="宋体" w:cs="宋体"/>
          <w:b/>
          <w:color w:val="auto"/>
          <w:sz w:val="28"/>
          <w:szCs w:val="28"/>
          <w:lang w:val="en-US" w:eastAsia="zh-CN"/>
        </w:rPr>
        <w:t>11.</w:t>
      </w:r>
      <w:r>
        <w:rPr>
          <w:rFonts w:hint="eastAsia" w:ascii="宋体" w:hAnsi="宋体" w:cs="宋体"/>
          <w:b/>
          <w:color w:val="auto"/>
          <w:sz w:val="28"/>
          <w:szCs w:val="28"/>
        </w:rPr>
        <w:t>投标人提交的其它资料</w:t>
      </w:r>
      <w:bookmarkEnd w:id="389"/>
      <w:bookmarkEnd w:id="390"/>
      <w:bookmarkEnd w:id="391"/>
      <w:bookmarkEnd w:id="392"/>
      <w:bookmarkEnd w:id="393"/>
    </w:p>
    <w:p>
      <w:pPr>
        <w:spacing w:line="360" w:lineRule="auto"/>
        <w:rPr>
          <w:rFonts w:ascii="宋体" w:hAnsi="宋体" w:cs="宋体"/>
          <w:color w:val="auto"/>
          <w:sz w:val="24"/>
        </w:rPr>
      </w:pPr>
    </w:p>
    <w:p>
      <w:pPr>
        <w:spacing w:line="360" w:lineRule="auto"/>
        <w:ind w:firstLine="480" w:firstLineChars="200"/>
        <w:rPr>
          <w:rFonts w:ascii="宋体" w:hAnsi="宋体" w:cs="宋体"/>
          <w:b/>
          <w:bCs/>
          <w:color w:val="auto"/>
          <w:sz w:val="36"/>
        </w:rPr>
      </w:pPr>
      <w:r>
        <w:rPr>
          <w:rFonts w:hint="eastAsia" w:ascii="宋体" w:hAnsi="宋体" w:cs="宋体"/>
          <w:color w:val="auto"/>
          <w:sz w:val="24"/>
        </w:rPr>
        <w:t>投标人按招标文件要求认为应提交的其他材料, 可在此附件中提交。</w:t>
      </w:r>
    </w:p>
    <w:p>
      <w:pPr>
        <w:spacing w:line="360" w:lineRule="auto"/>
        <w:rPr>
          <w:rFonts w:ascii="宋体" w:hAnsi="宋体" w:cs="宋体"/>
          <w:color w:val="auto"/>
          <w:sz w:val="28"/>
        </w:rPr>
      </w:pPr>
    </w:p>
    <w:p>
      <w:pPr>
        <w:spacing w:line="360" w:lineRule="auto"/>
        <w:rPr>
          <w:rFonts w:ascii="宋体" w:hAnsi="宋体" w:cs="宋体"/>
          <w:color w:val="auto"/>
          <w:sz w:val="24"/>
        </w:rPr>
      </w:pPr>
      <w:r>
        <w:rPr>
          <w:rFonts w:hint="eastAsia" w:ascii="宋体" w:hAnsi="宋体" w:cs="宋体"/>
          <w:color w:val="auto"/>
        </w:rPr>
        <w:t xml:space="preserve">  　　　　　　　　　　　　　</w:t>
      </w:r>
      <w:bookmarkStart w:id="394" w:name="_Toc44362931"/>
      <w:bookmarkStart w:id="395" w:name="_Toc35357024"/>
      <w:bookmarkStart w:id="396" w:name="_Toc38918018"/>
      <w:bookmarkStart w:id="397" w:name="_Toc44252997"/>
      <w:bookmarkStart w:id="398" w:name="_Toc374971699"/>
      <w:r>
        <w:rPr>
          <w:rFonts w:hint="eastAsia" w:ascii="宋体" w:hAnsi="宋体" w:cs="宋体"/>
          <w:color w:val="auto"/>
          <w:sz w:val="24"/>
        </w:rPr>
        <w:t>投 标 人（全称并加盖公章）：</w:t>
      </w:r>
    </w:p>
    <w:p>
      <w:pPr>
        <w:spacing w:line="360" w:lineRule="auto"/>
        <w:rPr>
          <w:rFonts w:ascii="宋体" w:hAnsi="宋体" w:cs="宋体"/>
          <w:color w:val="auto"/>
          <w:sz w:val="24"/>
        </w:rPr>
      </w:pPr>
      <w:r>
        <w:rPr>
          <w:rFonts w:hint="eastAsia" w:ascii="宋体" w:hAnsi="宋体" w:cs="宋体"/>
          <w:color w:val="auto"/>
          <w:sz w:val="24"/>
        </w:rPr>
        <w:t xml:space="preserve">                         投标人代表签字：</w:t>
      </w:r>
    </w:p>
    <w:p>
      <w:pPr>
        <w:spacing w:line="360" w:lineRule="auto"/>
        <w:rPr>
          <w:rFonts w:hint="eastAsia" w:ascii="宋体" w:hAnsi="宋体" w:cs="宋体"/>
          <w:color w:val="auto"/>
          <w:sz w:val="24"/>
        </w:rPr>
        <w:sectPr>
          <w:footerReference r:id="rId10" w:type="default"/>
          <w:pgSz w:w="11907" w:h="16840"/>
          <w:pgMar w:top="1418" w:right="1418" w:bottom="1418" w:left="1418" w:header="720" w:footer="850" w:gutter="0"/>
          <w:pgNumType w:fmt="decimal"/>
          <w:cols w:space="720" w:num="1"/>
          <w:docGrid w:type="lines" w:linePitch="312" w:charSpace="0"/>
        </w:sectPr>
      </w:pPr>
      <w:r>
        <w:rPr>
          <w:rFonts w:hint="eastAsia" w:ascii="宋体" w:hAnsi="宋体" w:cs="宋体"/>
          <w:color w:val="auto"/>
          <w:sz w:val="24"/>
        </w:rPr>
        <w:t xml:space="preserve">                         日      期：</w:t>
      </w:r>
    </w:p>
    <w:p>
      <w:pPr>
        <w:spacing w:line="360" w:lineRule="auto"/>
        <w:jc w:val="center"/>
        <w:rPr>
          <w:rFonts w:ascii="宋体" w:hAnsi="宋体" w:cs="宋体"/>
          <w:b/>
          <w:bCs/>
          <w:color w:val="auto"/>
          <w:sz w:val="28"/>
          <w:szCs w:val="28"/>
        </w:rPr>
      </w:pPr>
      <w:r>
        <w:rPr>
          <w:rFonts w:hint="eastAsia" w:ascii="宋体" w:hAnsi="宋体" w:cs="宋体"/>
          <w:b/>
          <w:bCs/>
          <w:color w:val="auto"/>
          <w:sz w:val="28"/>
          <w:szCs w:val="28"/>
          <w:lang w:val="en-US" w:eastAsia="zh-CN"/>
        </w:rPr>
        <w:t>12.</w:t>
      </w:r>
      <w:r>
        <w:rPr>
          <w:rFonts w:hint="eastAsia" w:ascii="宋体" w:hAnsi="宋体" w:cs="宋体"/>
          <w:b/>
          <w:bCs/>
          <w:color w:val="auto"/>
          <w:sz w:val="28"/>
          <w:szCs w:val="28"/>
        </w:rPr>
        <w:t>招标代理服务费及付款方式承诺书</w:t>
      </w:r>
      <w:bookmarkEnd w:id="394"/>
      <w:bookmarkEnd w:id="395"/>
      <w:bookmarkEnd w:id="396"/>
      <w:bookmarkEnd w:id="397"/>
      <w:bookmarkEnd w:id="398"/>
    </w:p>
    <w:p>
      <w:pPr>
        <w:spacing w:line="360" w:lineRule="auto"/>
        <w:rPr>
          <w:rFonts w:ascii="宋体" w:hAnsi="宋体" w:cs="宋体"/>
          <w:color w:val="auto"/>
          <w:sz w:val="24"/>
        </w:rPr>
      </w:pPr>
      <w:r>
        <w:rPr>
          <w:rFonts w:hint="eastAsia" w:ascii="宋体" w:hAnsi="宋体" w:cs="宋体"/>
          <w:color w:val="auto"/>
          <w:sz w:val="24"/>
        </w:rPr>
        <w:t>致：厦门路桥百城管理咨询有限公司</w:t>
      </w:r>
    </w:p>
    <w:p>
      <w:pPr>
        <w:spacing w:line="360" w:lineRule="auto"/>
        <w:rPr>
          <w:rFonts w:ascii="宋体" w:hAnsi="宋体" w:cs="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我们在贵公司组织的项目招标活动中投标（招标编号：），如获中标，我们保证按招标文件的规定，以支票、汇票、电汇、现金或经贵公司认可的其他付款方式，向贵公司缴交招标代理服务费。</w:t>
      </w:r>
    </w:p>
    <w:p>
      <w:pPr>
        <w:spacing w:line="360" w:lineRule="auto"/>
        <w:ind w:firstLine="480" w:firstLineChars="200"/>
        <w:rPr>
          <w:rFonts w:ascii="宋体" w:hAnsi="宋体"/>
          <w:color w:val="auto"/>
          <w:sz w:val="24"/>
        </w:rPr>
      </w:pPr>
      <w:r>
        <w:rPr>
          <w:rFonts w:hint="eastAsia" w:ascii="宋体" w:hAnsi="宋体"/>
          <w:color w:val="auto"/>
          <w:sz w:val="24"/>
        </w:rPr>
        <w:t>我方如违反上述承诺，贵公司可对我方处以应缴交的招标代理服务费的200%的违约金，同时所提交的本招标项目的投标保证金将不予退还我方，我方对此无异议。</w:t>
      </w:r>
    </w:p>
    <w:p>
      <w:pPr>
        <w:spacing w:line="360" w:lineRule="auto"/>
        <w:rPr>
          <w:rFonts w:ascii="宋体" w:hAnsi="宋体" w:cs="宋体"/>
          <w:color w:val="auto"/>
          <w:sz w:val="24"/>
        </w:rPr>
      </w:pPr>
    </w:p>
    <w:p>
      <w:pPr>
        <w:spacing w:line="360" w:lineRule="auto"/>
        <w:ind w:firstLine="480" w:firstLineChars="200"/>
        <w:rPr>
          <w:rFonts w:ascii="宋体" w:hAnsi="宋体" w:cs="宋体"/>
          <w:color w:val="auto"/>
          <w:sz w:val="24"/>
        </w:rPr>
      </w:pPr>
      <w:r>
        <w:rPr>
          <w:rFonts w:hint="eastAsia" w:ascii="宋体" w:hAnsi="宋体" w:cs="宋体"/>
          <w:color w:val="auto"/>
          <w:sz w:val="24"/>
        </w:rPr>
        <w:t>特此承诺！</w:t>
      </w: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 xml:space="preserve">投标人（全称并加盖投标人公章）： </w:t>
      </w:r>
    </w:p>
    <w:p>
      <w:pPr>
        <w:spacing w:line="360" w:lineRule="auto"/>
        <w:ind w:firstLine="3360" w:firstLineChars="1400"/>
        <w:rPr>
          <w:rFonts w:ascii="宋体" w:hAnsi="宋体" w:cs="宋体"/>
          <w:color w:val="auto"/>
          <w:sz w:val="24"/>
        </w:rPr>
      </w:pPr>
      <w:r>
        <w:rPr>
          <w:rFonts w:hint="eastAsia" w:ascii="宋体" w:hAnsi="宋体" w:cs="宋体"/>
          <w:color w:val="auto"/>
          <w:sz w:val="24"/>
        </w:rPr>
        <w:t>投标人代表签字：</w:t>
      </w: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邮 编：</w:t>
      </w:r>
      <w:r>
        <w:rPr>
          <w:rFonts w:hint="eastAsia" w:ascii="宋体" w:hAnsi="宋体" w:cs="宋体"/>
          <w:color w:val="auto"/>
          <w:sz w:val="24"/>
          <w:lang w:val="en-US" w:eastAsia="zh-CN"/>
        </w:rPr>
        <w:t xml:space="preserve">             </w:t>
      </w:r>
      <w:r>
        <w:rPr>
          <w:rFonts w:hint="eastAsia" w:ascii="宋体" w:hAnsi="宋体" w:cs="宋体"/>
          <w:color w:val="auto"/>
          <w:sz w:val="24"/>
        </w:rPr>
        <w:t>电 话：</w:t>
      </w:r>
    </w:p>
    <w:p>
      <w:pPr>
        <w:spacing w:line="360" w:lineRule="auto"/>
        <w:ind w:firstLine="3360" w:firstLineChars="1400"/>
        <w:rPr>
          <w:rFonts w:ascii="宋体" w:hAnsi="宋体" w:cs="宋体"/>
          <w:color w:val="auto"/>
          <w:sz w:val="24"/>
          <w:u w:val="single"/>
        </w:rPr>
      </w:pPr>
      <w:r>
        <w:rPr>
          <w:rFonts w:hint="eastAsia" w:ascii="宋体" w:hAnsi="宋体" w:cs="宋体"/>
          <w:color w:val="auto"/>
          <w:sz w:val="24"/>
        </w:rPr>
        <w:t>传 真：</w:t>
      </w:r>
      <w:r>
        <w:rPr>
          <w:rFonts w:hint="eastAsia" w:ascii="宋体" w:hAnsi="宋体" w:cs="宋体"/>
          <w:color w:val="auto"/>
          <w:sz w:val="24"/>
          <w:lang w:val="en-US" w:eastAsia="zh-CN"/>
        </w:rPr>
        <w:t xml:space="preserve">             </w:t>
      </w:r>
      <w:r>
        <w:rPr>
          <w:rFonts w:hint="eastAsia" w:ascii="宋体" w:hAnsi="宋体" w:cs="宋体"/>
          <w:color w:val="auto"/>
          <w:sz w:val="24"/>
        </w:rPr>
        <w:t xml:space="preserve">日 期： </w:t>
      </w:r>
    </w:p>
    <w:p>
      <w:pPr>
        <w:widowControl/>
        <w:spacing w:line="360" w:lineRule="auto"/>
        <w:jc w:val="left"/>
        <w:rPr>
          <w:rFonts w:ascii="宋体" w:hAnsi="宋体" w:cs="宋体"/>
          <w:color w:val="auto"/>
          <w:sz w:val="24"/>
        </w:rPr>
      </w:pPr>
      <w:bookmarkStart w:id="399" w:name="_Toc38918019"/>
      <w:bookmarkStart w:id="400" w:name="_Toc44252998"/>
      <w:bookmarkStart w:id="401" w:name="_Toc44362932"/>
      <w:bookmarkStart w:id="402" w:name="_Toc35357025"/>
    </w:p>
    <w:bookmarkEnd w:id="399"/>
    <w:bookmarkEnd w:id="400"/>
    <w:bookmarkEnd w:id="401"/>
    <w:bookmarkEnd w:id="402"/>
    <w:p>
      <w:pPr>
        <w:widowControl/>
        <w:snapToGrid/>
        <w:spacing w:line="360" w:lineRule="auto"/>
        <w:ind w:firstLine="0" w:firstLineChars="0"/>
        <w:jc w:val="center"/>
        <w:rPr>
          <w:rFonts w:ascii="宋体" w:hAnsi="宋体" w:cs="宋体"/>
          <w:b/>
          <w:bCs/>
          <w:color w:val="auto"/>
          <w:sz w:val="32"/>
          <w:szCs w:val="32"/>
        </w:rPr>
        <w:sectPr>
          <w:footerReference r:id="rId11" w:type="default"/>
          <w:pgSz w:w="11907" w:h="16840"/>
          <w:pgMar w:top="1418" w:right="1418" w:bottom="1418" w:left="1418" w:header="720" w:footer="850" w:gutter="0"/>
          <w:pgNumType w:fmt="decimal"/>
          <w:cols w:space="720" w:num="1"/>
          <w:docGrid w:type="lines" w:linePitch="312" w:charSpace="0"/>
        </w:sectPr>
      </w:pPr>
    </w:p>
    <w:p>
      <w:pPr>
        <w:widowControl/>
        <w:spacing w:line="360" w:lineRule="auto"/>
        <w:jc w:val="center"/>
        <w:rPr>
          <w:rFonts w:ascii="宋体" w:hAnsi="宋体"/>
          <w:b/>
          <w:color w:val="auto"/>
          <w:sz w:val="32"/>
          <w:szCs w:val="32"/>
        </w:rPr>
      </w:pPr>
      <w:r>
        <w:rPr>
          <w:rFonts w:hint="eastAsia" w:ascii="宋体" w:hAnsi="宋体"/>
          <w:b/>
          <w:color w:val="auto"/>
          <w:sz w:val="32"/>
          <w:szCs w:val="32"/>
          <w:lang w:val="en-US" w:eastAsia="zh-CN"/>
        </w:rPr>
        <w:t>13.</w:t>
      </w:r>
      <w:r>
        <w:rPr>
          <w:rFonts w:hint="eastAsia" w:ascii="宋体" w:hAnsi="宋体"/>
          <w:b/>
          <w:color w:val="auto"/>
          <w:sz w:val="32"/>
          <w:szCs w:val="32"/>
        </w:rPr>
        <w:t>廉洁承诺书</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 xml:space="preserve">为促进廉洁自律有关规定的落实，打击贿赂、以权谋私等违法犯罪行为，保证各项经营活动健康有序开展，维护员工职业操守，提高合作效率，本单位在与厦门路桥百城管理咨询有限公司（以下简称“贵司”）开展投标业务活动中承诺： </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一、自觉遵守国家法律、法规，按照《中国共产党纪律处分条例》、《中华人民共和国反不正当竞争法》、《关于禁止商业贿赂行为的暂行规定》以及有关要求进行各项业务活动。</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二、不向贵司的工作人员及其亲属馈赠礼金、礼品（含有价证券）；不向贵司的工作人员提供任何应由其个人支付报酬的劳务（如：建、修住宅等）和其它服务；不为贵司的工作人员安排可能影响公正执行公务的任何活动（如：旅游、高消费宴请、娱乐等）；不为贵司的工作人员支付应由其个人支付的任何赞助费、宣传费、咨询费、劳务费等；不为贵司的工作人员报销任何名义的个人消费凭证；不为贵司的工作人员安排违反社会公德的活动；不为贵司的工作人员提供经商、办企业、消费提供特殊便利或优惠等。</w:t>
      </w:r>
    </w:p>
    <w:p>
      <w:pPr>
        <w:widowControl/>
        <w:spacing w:line="360" w:lineRule="auto"/>
        <w:ind w:firstLine="482" w:firstLineChars="201"/>
        <w:jc w:val="left"/>
        <w:rPr>
          <w:rFonts w:ascii="宋体" w:hAnsi="宋体"/>
          <w:color w:val="auto"/>
          <w:sz w:val="24"/>
        </w:rPr>
      </w:pPr>
      <w:r>
        <w:rPr>
          <w:rFonts w:hint="eastAsia" w:ascii="宋体" w:hAnsi="宋体"/>
          <w:color w:val="auto"/>
          <w:sz w:val="24"/>
        </w:rPr>
        <w:t>三、不与其他经营者串通报价和投标，不排挤其他经营者的公平竞争，损害其他经营者的合法权益；不在工程建设的预决算编制工作中弄虚作假、高估冒算。</w:t>
      </w:r>
    </w:p>
    <w:p>
      <w:pPr>
        <w:spacing w:line="360" w:lineRule="auto"/>
        <w:ind w:firstLine="480" w:firstLineChars="200"/>
        <w:rPr>
          <w:rFonts w:ascii="宋体" w:hAnsi="宋体"/>
          <w:color w:val="auto"/>
          <w:sz w:val="24"/>
        </w:rPr>
      </w:pPr>
      <w:r>
        <w:rPr>
          <w:rFonts w:hint="eastAsia" w:ascii="宋体" w:hAnsi="宋体"/>
          <w:color w:val="auto"/>
          <w:sz w:val="24"/>
        </w:rPr>
        <w:t>四、发现贵司的工作人员有受贿行为或索贿要求、徇私舞弊、滥用职权时，将予以举报并提供证据。举报电话：</w:t>
      </w:r>
      <w:r>
        <w:rPr>
          <w:rFonts w:hint="eastAsia" w:ascii="宋体" w:hAnsi="宋体"/>
          <w:b/>
          <w:color w:val="auto"/>
          <w:sz w:val="24"/>
          <w:u w:val="single"/>
        </w:rPr>
        <w:t>0592-5053396</w:t>
      </w:r>
      <w:r>
        <w:rPr>
          <w:rFonts w:hint="eastAsia" w:ascii="宋体" w:hAnsi="宋体"/>
          <w:color w:val="auto"/>
          <w:sz w:val="24"/>
        </w:rPr>
        <w:t>；举报信件：厦门路桥百城管理咨询有限公司，综合管理部收。</w:t>
      </w:r>
    </w:p>
    <w:p>
      <w:pPr>
        <w:spacing w:line="360" w:lineRule="auto"/>
        <w:ind w:firstLine="480" w:firstLineChars="200"/>
        <w:rPr>
          <w:rFonts w:ascii="宋体" w:hAnsi="宋体"/>
          <w:color w:val="auto"/>
          <w:sz w:val="24"/>
        </w:rPr>
      </w:pPr>
      <w:r>
        <w:rPr>
          <w:rFonts w:hint="eastAsia" w:ascii="宋体" w:hAnsi="宋体"/>
          <w:color w:val="auto"/>
          <w:sz w:val="24"/>
        </w:rPr>
        <w:t>五、自觉接受监督，本单位及员工若有违反本承诺书（包括但不限于本承诺书所列举禁止项目），致使贵司工作人员受到纪检监察部门党纪、政纪处分，自处分确定之日起三日内，本单位自愿支付贵公司</w:t>
      </w:r>
      <w:r>
        <w:rPr>
          <w:rFonts w:hint="eastAsia" w:ascii="宋体" w:hAnsi="宋体"/>
          <w:color w:val="auto"/>
          <w:sz w:val="24"/>
          <w:u w:val="single"/>
        </w:rPr>
        <w:t xml:space="preserve">  2  </w:t>
      </w:r>
      <w:r>
        <w:rPr>
          <w:rFonts w:hint="eastAsia" w:ascii="宋体" w:hAnsi="宋体"/>
          <w:color w:val="auto"/>
          <w:sz w:val="24"/>
        </w:rPr>
        <w:t>万元人民币违约金；致使贵司工作人员受到司法机关刑事追究（判处拘役或有期徒刑以上刑罚处罚），自判决生效之日起三日内，本单位自愿支付贵公司</w:t>
      </w:r>
      <w:r>
        <w:rPr>
          <w:rFonts w:hint="eastAsia" w:ascii="宋体" w:hAnsi="宋体"/>
          <w:color w:val="auto"/>
          <w:sz w:val="24"/>
          <w:u w:val="single"/>
        </w:rPr>
        <w:t xml:space="preserve">  5  </w:t>
      </w:r>
      <w:r>
        <w:rPr>
          <w:rFonts w:hint="eastAsia" w:ascii="宋体" w:hAnsi="宋体"/>
          <w:color w:val="auto"/>
          <w:sz w:val="24"/>
        </w:rPr>
        <w:t>万元人民币违约金。</w:t>
      </w:r>
    </w:p>
    <w:p>
      <w:pPr>
        <w:spacing w:line="360" w:lineRule="auto"/>
        <w:ind w:firstLine="480" w:firstLineChars="200"/>
        <w:rPr>
          <w:rFonts w:ascii="宋体" w:hAnsi="宋体"/>
          <w:color w:val="auto"/>
          <w:sz w:val="24"/>
        </w:rPr>
      </w:pPr>
      <w:r>
        <w:rPr>
          <w:rFonts w:hint="eastAsia" w:ascii="宋体" w:hAnsi="宋体"/>
          <w:color w:val="auto"/>
          <w:sz w:val="24"/>
        </w:rPr>
        <w:t>特此承诺。</w:t>
      </w:r>
    </w:p>
    <w:p>
      <w:pPr>
        <w:spacing w:line="360" w:lineRule="auto"/>
        <w:ind w:firstLine="460" w:firstLineChars="192"/>
        <w:rPr>
          <w:rFonts w:ascii="宋体" w:hAnsi="宋体"/>
          <w:color w:val="auto"/>
          <w:sz w:val="24"/>
          <w:u w:val="single"/>
        </w:rPr>
      </w:pPr>
      <w:r>
        <w:rPr>
          <w:rFonts w:hint="eastAsia" w:ascii="宋体" w:hAnsi="宋体"/>
          <w:color w:val="auto"/>
          <w:sz w:val="24"/>
        </w:rPr>
        <w:t>投标人全称（加盖公章）：</w:t>
      </w:r>
    </w:p>
    <w:p>
      <w:pPr>
        <w:spacing w:line="360" w:lineRule="auto"/>
        <w:ind w:firstLine="460" w:firstLineChars="192"/>
        <w:rPr>
          <w:rFonts w:ascii="宋体" w:hAnsi="宋体"/>
          <w:color w:val="auto"/>
          <w:sz w:val="24"/>
          <w:u w:val="single"/>
        </w:rPr>
      </w:pPr>
      <w:r>
        <w:rPr>
          <w:rFonts w:hint="eastAsia" w:ascii="宋体" w:hAnsi="宋体"/>
          <w:color w:val="auto"/>
          <w:sz w:val="24"/>
        </w:rPr>
        <w:t>投标代表签字：</w:t>
      </w:r>
    </w:p>
    <w:p>
      <w:pPr>
        <w:spacing w:line="360" w:lineRule="auto"/>
        <w:ind w:firstLine="460" w:firstLineChars="192"/>
        <w:rPr>
          <w:rFonts w:ascii="宋体" w:hAnsi="宋体"/>
          <w:color w:val="auto"/>
          <w:sz w:val="24"/>
          <w:u w:val="single"/>
        </w:rPr>
      </w:pPr>
      <w:r>
        <w:rPr>
          <w:rFonts w:hint="eastAsia" w:ascii="宋体" w:hAnsi="宋体"/>
          <w:color w:val="auto"/>
          <w:sz w:val="24"/>
        </w:rPr>
        <w:t>联系电话：</w:t>
      </w:r>
    </w:p>
    <w:p>
      <w:pPr>
        <w:spacing w:line="360" w:lineRule="auto"/>
        <w:ind w:firstLine="460" w:firstLineChars="192"/>
        <w:rPr>
          <w:rFonts w:ascii="宋体" w:hAnsi="宋体"/>
          <w:color w:val="auto"/>
          <w:sz w:val="24"/>
          <w:u w:val="single"/>
        </w:rPr>
      </w:pPr>
      <w:r>
        <w:rPr>
          <w:rFonts w:hint="eastAsia" w:ascii="宋体" w:hAnsi="宋体"/>
          <w:color w:val="auto"/>
          <w:sz w:val="24"/>
        </w:rPr>
        <w:t>日期：</w:t>
      </w:r>
    </w:p>
    <w:p>
      <w:pPr>
        <w:spacing w:line="360" w:lineRule="auto"/>
        <w:jc w:val="center"/>
        <w:rPr>
          <w:rFonts w:ascii="宋体" w:hAnsi="宋体"/>
          <w:b/>
          <w:color w:val="auto"/>
          <w:sz w:val="32"/>
        </w:rPr>
      </w:pPr>
    </w:p>
    <w:p>
      <w:pPr>
        <w:spacing w:line="360" w:lineRule="auto"/>
        <w:jc w:val="center"/>
        <w:rPr>
          <w:rFonts w:ascii="宋体" w:hAnsi="宋体"/>
          <w:b/>
          <w:color w:val="auto"/>
          <w:sz w:val="32"/>
        </w:rPr>
      </w:pPr>
      <w:r>
        <w:rPr>
          <w:rFonts w:hint="eastAsia" w:ascii="宋体" w:hAnsi="宋体"/>
          <w:b/>
          <w:color w:val="auto"/>
          <w:sz w:val="32"/>
          <w:lang w:val="en-US" w:eastAsia="zh-CN"/>
        </w:rPr>
        <w:t>14.</w:t>
      </w:r>
      <w:r>
        <w:rPr>
          <w:rFonts w:hint="eastAsia" w:ascii="宋体" w:hAnsi="宋体"/>
          <w:b/>
          <w:color w:val="auto"/>
          <w:sz w:val="32"/>
        </w:rPr>
        <w:t>保证金缴交信息表</w:t>
      </w:r>
    </w:p>
    <w:p>
      <w:pPr>
        <w:spacing w:line="360" w:lineRule="auto"/>
        <w:jc w:val="center"/>
        <w:rPr>
          <w:rFonts w:ascii="宋体" w:hAnsi="宋体"/>
          <w:b/>
          <w:color w:val="auto"/>
          <w:sz w:val="32"/>
        </w:rPr>
      </w:pPr>
      <w:r>
        <w:rPr>
          <w:rFonts w:hint="eastAsia" w:ascii="宋体" w:hAnsi="宋体"/>
          <w:b/>
          <w:color w:val="auto"/>
          <w:sz w:val="32"/>
        </w:rPr>
        <w:t>【本表和银行缴款底单请另外单独用信封密封提交】</w:t>
      </w:r>
    </w:p>
    <w:tbl>
      <w:tblPr>
        <w:tblStyle w:val="41"/>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vAlign w:val="center"/>
          </w:tcPr>
          <w:p>
            <w:pPr>
              <w:spacing w:line="360" w:lineRule="auto"/>
              <w:jc w:val="center"/>
              <w:rPr>
                <w:rFonts w:ascii="宋体" w:hAnsi="宋体"/>
                <w:b/>
                <w:color w:val="auto"/>
                <w:sz w:val="32"/>
              </w:rPr>
            </w:pPr>
            <w:r>
              <w:rPr>
                <w:rFonts w:ascii="宋体" w:hAnsi="宋体"/>
                <w:b/>
                <w:color w:val="auto"/>
                <w:sz w:val="32"/>
              </w:rPr>
              <w:t>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项目编号</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项目名称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招标人名称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vAlign w:val="center"/>
          </w:tcPr>
          <w:p>
            <w:pPr>
              <w:spacing w:line="360" w:lineRule="auto"/>
              <w:jc w:val="center"/>
              <w:rPr>
                <w:rFonts w:ascii="宋体" w:hAnsi="宋体"/>
                <w:b/>
                <w:color w:val="auto"/>
                <w:sz w:val="32"/>
              </w:rPr>
            </w:pPr>
            <w:r>
              <w:rPr>
                <w:rFonts w:ascii="宋体" w:hAnsi="宋体"/>
                <w:b/>
                <w:color w:val="auto"/>
                <w:sz w:val="32"/>
              </w:rPr>
              <w:t>保证金缴款信息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hint="eastAsia" w:ascii="宋体" w:hAnsi="宋体"/>
                <w:b/>
                <w:color w:val="auto"/>
                <w:sz w:val="32"/>
              </w:rPr>
              <w:t>投标人</w:t>
            </w:r>
            <w:r>
              <w:rPr>
                <w:rFonts w:ascii="宋体" w:hAnsi="宋体"/>
                <w:b/>
                <w:color w:val="auto"/>
                <w:sz w:val="32"/>
              </w:rPr>
              <w:t>名称</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缴款银行</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缴款账号</w:t>
            </w:r>
          </w:p>
        </w:tc>
        <w:tc>
          <w:tcPr>
            <w:tcW w:w="7193" w:type="dxa"/>
          </w:tcPr>
          <w:p>
            <w:pPr>
              <w:spacing w:line="360" w:lineRule="auto"/>
              <w:rPr>
                <w:rFonts w:ascii="宋体" w:hAnsi="宋体"/>
                <w:b/>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rPr>
                <w:rFonts w:ascii="宋体" w:hAnsi="宋体"/>
                <w:b/>
                <w:color w:val="auto"/>
                <w:sz w:val="32"/>
              </w:rPr>
            </w:pPr>
            <w:r>
              <w:rPr>
                <w:rFonts w:ascii="宋体" w:hAnsi="宋体"/>
                <w:b/>
                <w:color w:val="auto"/>
                <w:sz w:val="32"/>
              </w:rPr>
              <w:t>缴款金额</w:t>
            </w:r>
          </w:p>
        </w:tc>
        <w:tc>
          <w:tcPr>
            <w:tcW w:w="7193" w:type="dxa"/>
          </w:tcPr>
          <w:p>
            <w:pPr>
              <w:spacing w:line="360" w:lineRule="auto"/>
              <w:rPr>
                <w:rFonts w:ascii="宋体" w:hAnsi="宋体"/>
                <w:b/>
                <w:color w:val="auto"/>
                <w:sz w:val="32"/>
              </w:rPr>
            </w:pPr>
          </w:p>
        </w:tc>
      </w:tr>
    </w:tbl>
    <w:p>
      <w:pPr>
        <w:spacing w:line="360" w:lineRule="auto"/>
        <w:rPr>
          <w:rFonts w:ascii="宋体" w:hAnsi="宋体"/>
          <w:b/>
          <w:color w:val="auto"/>
          <w:sz w:val="32"/>
        </w:rPr>
      </w:pPr>
      <w:r>
        <w:rPr>
          <w:rFonts w:ascii="宋体" w:hAnsi="宋体"/>
          <w:b/>
          <w:color w:val="auto"/>
          <w:sz w:val="32"/>
        </w:rPr>
        <w:t>注</w:t>
      </w:r>
      <w:r>
        <w:rPr>
          <w:rFonts w:hint="eastAsia" w:ascii="宋体" w:hAnsi="宋体"/>
          <w:b/>
          <w:color w:val="auto"/>
          <w:sz w:val="32"/>
        </w:rPr>
        <w:t>：本表和银行缴款底单请另外单独用信封密封提交。另需提交的本表电子文档，与电子投标文件一起提交。</w:t>
      </w:r>
    </w:p>
    <w:p>
      <w:pPr>
        <w:spacing w:line="360" w:lineRule="auto"/>
        <w:rPr>
          <w:rFonts w:ascii="宋体" w:hAnsi="宋体"/>
          <w:b/>
          <w:color w:val="auto"/>
          <w:sz w:val="32"/>
        </w:rPr>
      </w:pPr>
    </w:p>
    <w:p>
      <w:pPr>
        <w:spacing w:line="360" w:lineRule="auto"/>
        <w:rPr>
          <w:rFonts w:ascii="宋体" w:hAnsi="宋体"/>
          <w:b/>
          <w:color w:val="auto"/>
          <w:sz w:val="32"/>
        </w:rPr>
      </w:pPr>
    </w:p>
    <w:p>
      <w:pPr>
        <w:spacing w:line="360" w:lineRule="auto"/>
        <w:rPr>
          <w:rFonts w:ascii="宋体" w:hAnsi="宋体"/>
          <w:b/>
          <w:color w:val="auto"/>
          <w:sz w:val="32"/>
        </w:rPr>
      </w:pPr>
    </w:p>
    <w:p>
      <w:pPr>
        <w:spacing w:line="360" w:lineRule="auto"/>
        <w:ind w:firstLine="4200" w:firstLineChars="1750"/>
        <w:rPr>
          <w:rFonts w:ascii="宋体" w:hAnsi="宋体"/>
          <w:color w:val="auto"/>
          <w:sz w:val="24"/>
        </w:rPr>
      </w:pPr>
      <w:r>
        <w:rPr>
          <w:rFonts w:hint="eastAsia" w:ascii="宋体" w:hAnsi="宋体"/>
          <w:color w:val="auto"/>
          <w:sz w:val="24"/>
        </w:rPr>
        <w:t>投标人全称(加盖公章)：</w:t>
      </w:r>
    </w:p>
    <w:p>
      <w:pPr>
        <w:spacing w:line="360" w:lineRule="auto"/>
        <w:ind w:firstLine="4200" w:firstLineChars="1750"/>
        <w:rPr>
          <w:rFonts w:ascii="宋体" w:hAnsi="宋体"/>
          <w:color w:val="auto"/>
          <w:sz w:val="24"/>
        </w:rPr>
      </w:pPr>
      <w:r>
        <w:rPr>
          <w:rFonts w:hint="eastAsia" w:ascii="宋体" w:hAnsi="宋体"/>
          <w:color w:val="auto"/>
          <w:sz w:val="24"/>
        </w:rPr>
        <w:t>投标人代表签字：</w:t>
      </w:r>
    </w:p>
    <w:p>
      <w:pPr>
        <w:spacing w:line="360" w:lineRule="auto"/>
        <w:ind w:firstLine="4200" w:firstLineChars="1750"/>
        <w:rPr>
          <w:rFonts w:ascii="宋体" w:hAnsi="宋体"/>
          <w:color w:val="auto"/>
          <w:sz w:val="24"/>
        </w:rPr>
      </w:pPr>
      <w:r>
        <w:rPr>
          <w:rFonts w:hint="eastAsia" w:ascii="宋体" w:hAnsi="宋体"/>
          <w:color w:val="auto"/>
          <w:sz w:val="24"/>
        </w:rPr>
        <w:t>日          期：</w:t>
      </w: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p>
      <w:pPr>
        <w:spacing w:line="360" w:lineRule="auto"/>
        <w:ind w:firstLine="4200" w:firstLineChars="1750"/>
        <w:rPr>
          <w:rFonts w:ascii="宋体" w:hAnsi="宋体"/>
          <w:color w:val="auto"/>
          <w:sz w:val="24"/>
        </w:rPr>
      </w:pPr>
    </w:p>
    <w:p>
      <w:pPr>
        <w:spacing w:line="360" w:lineRule="auto"/>
        <w:rPr>
          <w:rFonts w:hint="default" w:ascii="宋体" w:hAnsi="宋体"/>
          <w:color w:val="auto"/>
          <w:sz w:val="24"/>
          <w:lang w:val="en-US" w:eastAsia="zh-CN"/>
        </w:rPr>
      </w:pPr>
      <w:r>
        <w:rPr>
          <w:rFonts w:hint="eastAsia" w:ascii="宋体" w:hAnsi="宋体"/>
          <w:color w:val="auto"/>
          <w:sz w:val="24"/>
          <w:lang w:val="en-US" w:eastAsia="zh-CN"/>
        </w:rPr>
        <w:t>、</w:t>
      </w:r>
    </w:p>
    <w:p>
      <w:pPr>
        <w:spacing w:line="360" w:lineRule="auto"/>
        <w:ind w:firstLine="4200" w:firstLineChars="1750"/>
        <w:rPr>
          <w:rFonts w:hint="default" w:ascii="宋体" w:hAnsi="宋体"/>
          <w:color w:val="auto"/>
          <w:sz w:val="24"/>
          <w:lang w:val="en-US" w:eastAsia="zh-CN"/>
        </w:rPr>
      </w:pPr>
    </w:p>
    <w:sectPr>
      <w:headerReference r:id="rId12" w:type="default"/>
      <w:footerReference r:id="rId13" w:type="default"/>
      <w:pgSz w:w="11906" w:h="16838"/>
      <w:pgMar w:top="1418" w:right="1418" w:bottom="1418" w:left="1418" w:header="851" w:footer="850"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monospace">
    <w:altName w:val="ksdb"/>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大黑简体">
    <w:altName w:val="宋体"/>
    <w:panose1 w:val="00000000000000000000"/>
    <w:charset w:val="86"/>
    <w:family w:val="auto"/>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宋体" w:hAnsi="宋体"/>
      </w:rPr>
    </w:pPr>
    <w:r>
      <w:rPr>
        <w:sz w:val="18"/>
      </w:rPr>
      <w:pict>
        <v:shape id="_x0000_s2057" o:spid="_x0000_s2057"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w:r>
  </w:p>
  <w:p>
    <w:pPr>
      <w:pStyle w:val="27"/>
      <w:rPr>
        <w:rFonts w:ascii="宋体" w:hAnsi="宋体"/>
      </w:rPr>
    </w:pPr>
  </w:p>
  <w:p>
    <w:pPr>
      <w:pStyle w:val="27"/>
      <w:jc w:val="center"/>
      <w:rPr>
        <w:rFonts w:ascii="宋体" w:hAnsi="宋体"/>
      </w:rPr>
    </w:pPr>
  </w:p>
  <w:p>
    <w:pPr>
      <w:pStyle w:val="27"/>
      <w:rPr>
        <w:rFonts w:ascii="宋体" w:hAnsi="宋体"/>
      </w:rPr>
    </w:pPr>
  </w:p>
  <w:p>
    <w:pPr>
      <w:pStyle w:val="27"/>
      <w:jc w:val="center"/>
    </w:pPr>
    <w:r>
      <w:pict>
        <v:shape id="文本框 1" o:spid="_x0000_s2051" o:spt="202" type="#_x0000_t202" style="position:absolute;left:0pt;margin-top:0pt;height:11.65pt;width:65.3pt;mso-position-horizontal:center;mso-position-horizontal-relative:margin;mso-wrap-style:none;z-index:251660288;mso-width-relative:page;mso-height-relative:page;" filled="f" stroked="f" coordsize="21600,21600" o:gfxdata="UEsDBAoAAAAAAIdO4kAAAAAAAAAAAAAAAAAEAAAAZHJzL1BLAwQUAAAACACHTuJADAzOkdEAAAAE&#10;AQAADwAAAGRycy9kb3ducmV2LnhtbE2PwW7CMBBE75X4B2uRuBUbIlEU4nBA4tJbaVWpNxMvcYS9&#10;jmwTkr/H9NJeVhrNaOZttR+dZQOG2HmSsFoKYEiN1x21Er4+j69bYDEp0sp6QgkTRtjXs5dKldrf&#10;6QOHU2pZLqFYKgkmpb7kPDYGnYpL3yNl7+KDUynL0HId1D2XO8vXQmy4Ux3lBaN6PBhsrqebk/A2&#10;fnvsIx7w5zI0wXTT1r5PUi7mK7EDlnBMf2F44md0qDPT2d9IR2Yl5EfS7316hdgAO0tYFwXwuuL/&#10;4esHUEsDBBQAAAAIAIdO4kCaVFYrDgIAABAEAAAOAAAAZHJzL2Uyb0RvYy54bWytU82O0zAQviPx&#10;DpbvNG1hYTdqulq2KkJafqSFB3Adp7GIPdbYbVIeAN5gT1y481x9DsZOUpblsgcu1tie+TzfN58X&#10;l51p2F6h12ALPptMOVNWQqnttuCfP62fnXPmg7ClaMCqgh+U55fLp08WrcvVHGpoSoWMQKzPW1fw&#10;OgSXZ5mXtTLCT8ApS5cVoBGBtrjNShQtoZsmm0+nL7MWsHQIUnlPp6v+kg+I+BhAqCot1Qrkzigb&#10;elRUjQhEydfaeb5M3VaVkuFDVXkVWFNwYhrSSo9QvIlrtlyIfIvC1VoOLYjHtPCAkxHa0qMnqJUI&#10;gu1Q/wNltETwUIWJBJP1RJIixGI2faDNbS2cSlxIau9Oovv/Byvf7z8i0yU5gTMrDA38ePf9+OPX&#10;8ec3NovytM7nlHXrKC90r6GLqZGqdzcgv3hm4boWdquuEKGtlSipvVSZ3SvtcXwE2bTvoKR3xC5A&#10;AuoqNBGQ1GCETqM5nEajusAkHZ7PL57P6EbS1ezFq4uzs9hbJvKx2KEPbxQYFoOCI00+gYv9jQ99&#10;6pgS37Kw1k2Tpt/Yvw4Isz9RyT5DdaQSu+95hG7TDdJsoDwQKYTeWvSxKKgBv3LWkq0KbukXcda8&#10;tSRLdOAY4BhsxkBYSYUFD5z14XXonbpzqLc14Y7CX5F0a51oxcb6HkiOuCGjJGEGU0cn3t+nrD8f&#10;ef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AzOkdEAAAAEAQAADwAAAAAAAAABACAAAAAiAAAA&#10;ZHJzL2Rvd25yZXYueG1sUEsBAhQAFAAAAAgAh07iQJpUVisOAgAAEAQAAA4AAAAAAAAAAQAgAAAA&#10;IAEAAGRycy9lMm9Eb2MueG1sUEsFBgAAAAAGAAYAWQEAAKAFAAAAAA==&#10;">
          <v:path/>
          <v:fill on="f" focussize="0,0"/>
          <v:stroke on="f"/>
          <v:imagedata o:title=""/>
          <o:lock v:ext="edit" aspectratio="f"/>
          <v:textbox inset="0mm,0mm,0mm,0mm" style="mso-fit-shape-to-text:t;">
            <w:txbxContent>
              <w:p>
                <w:pPr>
                  <w:pStyle w:val="27"/>
                  <w:jc w:val="both"/>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default" w:eastAsia="宋体"/>
        <w:lang w:val="en-US" w:eastAsia="zh-CN"/>
      </w:rPr>
    </w:pPr>
    <w:r>
      <w:rPr>
        <w:rFonts w:hint="eastAsia"/>
        <w:lang w:val="en-US" w:eastAsia="zh-CN"/>
      </w:rPr>
      <w:t xml:space="preserve">                                              41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宋体" w:hAnsi="宋体"/>
      </w:rPr>
    </w:pPr>
    <w:r>
      <w:rPr>
        <w:sz w:val="18"/>
      </w:rPr>
      <w:pict>
        <v:shape id="_x0000_s2058" o:spid="_x0000_s2058"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w:r>
  </w:p>
  <w:p>
    <w:pPr>
      <w:pStyle w:val="27"/>
      <w:rPr>
        <w:rFonts w:ascii="宋体" w:hAnsi="宋体"/>
      </w:rPr>
    </w:pPr>
  </w:p>
  <w:p>
    <w:pPr>
      <w:pStyle w:val="27"/>
      <w:jc w:val="center"/>
      <w:rPr>
        <w:rFonts w:ascii="宋体" w:hAnsi="宋体"/>
      </w:rPr>
    </w:pPr>
  </w:p>
  <w:p>
    <w:pPr>
      <w:pStyle w:val="27"/>
      <w:rPr>
        <w:rFonts w:ascii="宋体" w:hAnsi="宋体"/>
      </w:rPr>
    </w:pPr>
  </w:p>
  <w:p>
    <w:pPr>
      <w:pStyle w:val="27"/>
      <w:jc w:val="center"/>
    </w:pPr>
    <w:r>
      <w:pict>
        <v:shape id="_x0000_s2054" o:spid="_x0000_s2054" o:spt="202" type="#_x0000_t202" style="position:absolute;left:0pt;margin-top:0pt;height:11.65pt;width:65.3pt;mso-position-horizontal:center;mso-position-horizontal-relative:margin;mso-wrap-style:none;z-index:251661312;mso-width-relative:page;mso-height-relative:page;" filled="f" stroked="f" coordsize="21600,21600" o:gfxdata="UEsDBAoAAAAAAIdO4kAAAAAAAAAAAAAAAAAEAAAAZHJzL1BLAwQUAAAACACHTuJADAzOkdEAAAAE&#10;AQAADwAAAGRycy9kb3ducmV2LnhtbE2PwW7CMBBE75X4B2uRuBUbIlEU4nBA4tJbaVWpNxMvcYS9&#10;jmwTkr/H9NJeVhrNaOZttR+dZQOG2HmSsFoKYEiN1x21Er4+j69bYDEp0sp6QgkTRtjXs5dKldrf&#10;6QOHU2pZLqFYKgkmpb7kPDYGnYpL3yNl7+KDUynL0HId1D2XO8vXQmy4Ux3lBaN6PBhsrqebk/A2&#10;fnvsIx7w5zI0wXTT1r5PUi7mK7EDlnBMf2F44md0qDPT2d9IR2Yl5EfS7316hdgAO0tYFwXwuuL/&#10;4esHUEsDBBQAAAAIAIdO4kCaVFYrDgIAABAEAAAOAAAAZHJzL2Uyb0RvYy54bWytU82O0zAQviPx&#10;DpbvNG1hYTdqulq2KkJafqSFB3Adp7GIPdbYbVIeAN5gT1y481x9DsZOUpblsgcu1tie+TzfN58X&#10;l51p2F6h12ALPptMOVNWQqnttuCfP62fnXPmg7ClaMCqgh+U55fLp08WrcvVHGpoSoWMQKzPW1fw&#10;OgSXZ5mXtTLCT8ApS5cVoBGBtrjNShQtoZsmm0+nL7MWsHQIUnlPp6v+kg+I+BhAqCot1Qrkzigb&#10;elRUjQhEydfaeb5M3VaVkuFDVXkVWFNwYhrSSo9QvIlrtlyIfIvC1VoOLYjHtPCAkxHa0qMnqJUI&#10;gu1Q/wNltETwUIWJBJP1RJIixGI2faDNbS2cSlxIau9Oovv/Byvf7z8i0yU5gTMrDA38ePf9+OPX&#10;8ec3NovytM7nlHXrKC90r6GLqZGqdzcgv3hm4boWdquuEKGtlSipvVSZ3SvtcXwE2bTvoKR3xC5A&#10;AuoqNBGQ1GCETqM5nEajusAkHZ7PL57P6EbS1ezFq4uzs9hbJvKx2KEPbxQYFoOCI00+gYv9jQ99&#10;6pgS37Kw1k2Tpt/Yvw4Isz9RyT5DdaQSu+95hG7TDdJsoDwQKYTeWvSxKKgBv3LWkq0KbukXcda8&#10;tSRLdOAY4BhsxkBYSYUFD5z14XXonbpzqLc14Y7CX5F0a51oxcb6HkiOuCGjJGEGU0cn3t+nrD8f&#10;ef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AzOkdEAAAAEAQAADwAAAAAAAAABACAAAAAiAAAA&#10;ZHJzL2Rvd25yZXYueG1sUEsBAhQAFAAAAAgAh07iQJpUVisOAgAAEAQAAA4AAAAAAAAAAQAgAAAA&#10;IAEAAGRycy9lMm9Eb2MueG1sUEsFBgAAAAAGAAYAWQEAAKAFAAAAAA==&#10;">
          <v:path/>
          <v:fill on="f" focussize="0,0"/>
          <v:stroke on="f"/>
          <v:imagedata o:title=""/>
          <o:lock v:ext="edit" aspectratio="f"/>
          <v:textbox inset="0mm,0mm,0mm,0mm" style="mso-fit-shape-to-text:t;">
            <w:txbxContent>
              <w:p>
                <w:pPr>
                  <w:pStyle w:val="27"/>
                  <w:jc w:val="both"/>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w:pict>
        <v:shape id="_x0000_s2059" o:spid="_x0000_s2059"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w:pict>
        <v:shape id="_x0000_s2060" o:spid="_x0000_s2060"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26</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w:pict>
        <v:shape id="_x0000_s2061" o:spid="_x0000_s2061"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38</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w:pict>
        <v:shape id="_x0000_s2062" o:spid="_x0000_s2062"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weight="1.25pt"/>
          <v:imagedata o:title=""/>
          <o:lock v:ext="edit" aspectratio="f"/>
          <v:textbox inset="0mm,0mm,0mm,0mm" style="mso-fit-shape-to-text:t;">
            <w:txbxContent>
              <w:p>
                <w:pPr>
                  <w:pStyle w:val="27"/>
                </w:pPr>
                <w:r>
                  <w:fldChar w:fldCharType="begin"/>
                </w:r>
                <w:r>
                  <w:instrText xml:space="preserve"> PAGE  \* MERGEFORMAT </w:instrText>
                </w:r>
                <w:r>
                  <w:fldChar w:fldCharType="separate"/>
                </w:r>
                <w:r>
                  <w:t>39</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p>
    <w:pPr>
      <w:pStyle w:val="28"/>
      <w:spacing w:line="240" w:lineRule="exact"/>
      <w:jc w:val="both"/>
      <w:rPr>
        <w:rFonts w:hint="eastAsia" w:ascii="仿宋_GB2312" w:eastAsia="仿宋_GB2312"/>
        <w:sz w:val="24"/>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p>
    <w:pPr>
      <w:pStyle w:val="28"/>
      <w:spacing w:line="240" w:lineRule="exact"/>
      <w:jc w:val="both"/>
      <w:rPr>
        <w:rFonts w:hint="eastAsia" w:ascii="仿宋_GB2312" w:eastAsia="仿宋_GB2312"/>
        <w:sz w:val="24"/>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spacing w:line="240" w:lineRule="exact"/>
      <w:jc w:val="both"/>
      <w:rPr>
        <w:rFonts w:ascii="仿宋_GB2312" w:eastAsia="仿宋_GB2312"/>
        <w:sz w:val="24"/>
      </w:rPr>
    </w:pPr>
  </w:p>
  <w:p>
    <w:pPr>
      <w:pStyle w:val="28"/>
      <w:spacing w:line="240" w:lineRule="exact"/>
      <w:jc w:val="both"/>
      <w:rPr>
        <w:rFonts w:ascii="仿宋_GB2312" w:eastAsia="仿宋_GB2312"/>
        <w:sz w:val="24"/>
      </w:rPr>
    </w:pPr>
  </w:p>
  <w:p>
    <w:pPr>
      <w:pStyle w:val="28"/>
      <w:tabs>
        <w:tab w:val="clear" w:pos="4153"/>
      </w:tabs>
      <w:spacing w:line="240" w:lineRule="exact"/>
      <w:ind w:firstLine="223"/>
      <w:jc w:val="both"/>
      <w:rPr>
        <w:rFonts w:hint="eastAsia" w:ascii="仿宋_GB2312" w:eastAsia="仿宋_GB2312"/>
        <w:sz w:val="24"/>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left"/>
      <w:rPr>
        <w:rFonts w:hint="eastAsia" w:ascii="宋体" w:hAnsi="宋体" w:eastAsia="宋体"/>
        <w:sz w:val="21"/>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03C80"/>
    <w:multiLevelType w:val="singleLevel"/>
    <w:tmpl w:val="86803C80"/>
    <w:lvl w:ilvl="0" w:tentative="0">
      <w:start w:val="1"/>
      <w:numFmt w:val="chineseCounting"/>
      <w:suff w:val="nothing"/>
      <w:lvlText w:val="（%1）"/>
      <w:lvlJc w:val="left"/>
      <w:pPr>
        <w:ind w:left="0" w:firstLine="420"/>
      </w:pPr>
      <w:rPr>
        <w:rFonts w:hint="eastAsia"/>
      </w:rPr>
    </w:lvl>
  </w:abstractNum>
  <w:abstractNum w:abstractNumId="1">
    <w:nsid w:val="91D4D124"/>
    <w:multiLevelType w:val="multilevel"/>
    <w:tmpl w:val="91D4D124"/>
    <w:lvl w:ilvl="0" w:tentative="0">
      <w:start w:val="1"/>
      <w:numFmt w:val="decimal"/>
      <w:lvlText w:val="%1"/>
      <w:lvlJc w:val="left"/>
      <w:pPr>
        <w:tabs>
          <w:tab w:val="left" w:pos="425"/>
        </w:tabs>
        <w:ind w:left="425" w:hanging="425"/>
      </w:pPr>
      <w:rPr>
        <w:rFonts w:hint="eastAsia"/>
      </w:rPr>
    </w:lvl>
    <w:lvl w:ilvl="1" w:tentative="0">
      <w:start w:val="2"/>
      <w:numFmt w:val="decimal"/>
      <w:lvlText w:val="%1.%2"/>
      <w:lvlJc w:val="left"/>
      <w:pPr>
        <w:tabs>
          <w:tab w:val="left" w:pos="1135"/>
        </w:tabs>
        <w:ind w:left="205" w:firstLine="425"/>
      </w:pPr>
      <w:rPr>
        <w:rFonts w:hint="default"/>
        <w:strike w:val="0"/>
        <w:dstrike w:val="0"/>
        <w:u w:val="none"/>
      </w:rPr>
    </w:lvl>
    <w:lvl w:ilvl="2" w:tentative="0">
      <w:start w:val="1"/>
      <w:numFmt w:val="decimal"/>
      <w:lvlText w:val="%1.%2.%3"/>
      <w:lvlJc w:val="left"/>
      <w:pPr>
        <w:tabs>
          <w:tab w:val="left" w:pos="1714"/>
        </w:tabs>
        <w:ind w:left="143" w:firstLine="425"/>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
    <w:nsid w:val="98067975"/>
    <w:multiLevelType w:val="singleLevel"/>
    <w:tmpl w:val="98067975"/>
    <w:lvl w:ilvl="0" w:tentative="0">
      <w:start w:val="1"/>
      <w:numFmt w:val="decimal"/>
      <w:lvlText w:val="%1."/>
      <w:lvlJc w:val="left"/>
      <w:pPr>
        <w:ind w:left="425" w:hanging="425"/>
      </w:pPr>
      <w:rPr>
        <w:rFonts w:hint="default"/>
      </w:rPr>
    </w:lvl>
  </w:abstractNum>
  <w:abstractNum w:abstractNumId="3">
    <w:nsid w:val="FC634FFF"/>
    <w:multiLevelType w:val="singleLevel"/>
    <w:tmpl w:val="FC634FFF"/>
    <w:lvl w:ilvl="0" w:tentative="0">
      <w:start w:val="3"/>
      <w:numFmt w:val="decimal"/>
      <w:lvlText w:val="%1."/>
      <w:lvlJc w:val="left"/>
      <w:pPr>
        <w:tabs>
          <w:tab w:val="left" w:pos="312"/>
        </w:tabs>
      </w:pPr>
    </w:lvl>
  </w:abstractNum>
  <w:abstractNum w:abstractNumId="4">
    <w:nsid w:val="058AD3AF"/>
    <w:multiLevelType w:val="multilevel"/>
    <w:tmpl w:val="058AD3AF"/>
    <w:lvl w:ilvl="0" w:tentative="0">
      <w:start w:val="1"/>
      <w:numFmt w:val="decimal"/>
      <w:lvlText w:val="%1."/>
      <w:lvlJc w:val="left"/>
      <w:pPr>
        <w:tabs>
          <w:tab w:val="left" w:pos="420"/>
        </w:tabs>
        <w:ind w:left="845" w:hanging="425"/>
      </w:pPr>
      <w:rPr>
        <w:rFonts w:hint="default" w:ascii="Times New Roman" w:hAnsi="Times New Roman" w:cs="Times New Roman"/>
      </w:rPr>
    </w:lvl>
    <w:lvl w:ilvl="1" w:tentative="0">
      <w:start w:val="1"/>
      <w:numFmt w:val="decimal"/>
      <w:lvlText w:val="%2."/>
      <w:lvlJc w:val="left"/>
      <w:pPr>
        <w:tabs>
          <w:tab w:val="left" w:pos="1860"/>
        </w:tabs>
        <w:ind w:left="1860" w:firstLine="65176"/>
      </w:pPr>
    </w:lvl>
    <w:lvl w:ilvl="2" w:tentative="0">
      <w:start w:val="1"/>
      <w:numFmt w:val="decimal"/>
      <w:lvlText w:val="%3."/>
      <w:lvlJc w:val="left"/>
      <w:pPr>
        <w:tabs>
          <w:tab w:val="left" w:pos="2580"/>
        </w:tabs>
        <w:ind w:left="2580" w:firstLine="65176"/>
      </w:pPr>
    </w:lvl>
    <w:lvl w:ilvl="3" w:tentative="0">
      <w:start w:val="1"/>
      <w:numFmt w:val="decimal"/>
      <w:lvlText w:val="%4."/>
      <w:lvlJc w:val="left"/>
      <w:pPr>
        <w:tabs>
          <w:tab w:val="left" w:pos="3300"/>
        </w:tabs>
        <w:ind w:left="3300" w:firstLine="65176"/>
      </w:pPr>
    </w:lvl>
    <w:lvl w:ilvl="4" w:tentative="0">
      <w:start w:val="1"/>
      <w:numFmt w:val="decimal"/>
      <w:lvlText w:val="%5."/>
      <w:lvlJc w:val="left"/>
      <w:pPr>
        <w:tabs>
          <w:tab w:val="left" w:pos="4020"/>
        </w:tabs>
        <w:ind w:left="4020" w:firstLine="65176"/>
      </w:pPr>
    </w:lvl>
    <w:lvl w:ilvl="5" w:tentative="0">
      <w:start w:val="1"/>
      <w:numFmt w:val="decimal"/>
      <w:lvlText w:val="%6."/>
      <w:lvlJc w:val="left"/>
      <w:pPr>
        <w:tabs>
          <w:tab w:val="left" w:pos="4740"/>
        </w:tabs>
        <w:ind w:left="4740" w:firstLine="65176"/>
      </w:pPr>
    </w:lvl>
    <w:lvl w:ilvl="6" w:tentative="0">
      <w:start w:val="1"/>
      <w:numFmt w:val="decimal"/>
      <w:lvlText w:val="%7."/>
      <w:lvlJc w:val="left"/>
      <w:pPr>
        <w:tabs>
          <w:tab w:val="left" w:pos="5460"/>
        </w:tabs>
        <w:ind w:left="5460" w:firstLine="65176"/>
      </w:pPr>
    </w:lvl>
    <w:lvl w:ilvl="7" w:tentative="0">
      <w:start w:val="1"/>
      <w:numFmt w:val="decimal"/>
      <w:lvlText w:val="%8."/>
      <w:lvlJc w:val="left"/>
      <w:pPr>
        <w:tabs>
          <w:tab w:val="left" w:pos="6180"/>
        </w:tabs>
        <w:ind w:left="6180" w:firstLine="65176"/>
      </w:pPr>
    </w:lvl>
    <w:lvl w:ilvl="8" w:tentative="0">
      <w:start w:val="1"/>
      <w:numFmt w:val="decimal"/>
      <w:lvlText w:val="%9."/>
      <w:lvlJc w:val="left"/>
      <w:pPr>
        <w:tabs>
          <w:tab w:val="left" w:pos="6900"/>
        </w:tabs>
        <w:ind w:left="6900" w:firstLine="65176"/>
      </w:pPr>
    </w:lvl>
  </w:abstractNum>
  <w:abstractNum w:abstractNumId="5">
    <w:nsid w:val="24656A4D"/>
    <w:multiLevelType w:val="multilevel"/>
    <w:tmpl w:val="24656A4D"/>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4084"/>
        </w:tabs>
        <w:ind w:left="3120" w:firstLine="425"/>
      </w:pPr>
      <w:rPr>
        <w:rFonts w:hint="eastAsia"/>
      </w:rPr>
    </w:lvl>
    <w:lvl w:ilvl="2" w:tentative="0">
      <w:start w:val="1"/>
      <w:numFmt w:val="decimal"/>
      <w:lvlText w:val="%1.%2.%3"/>
      <w:lvlJc w:val="left"/>
      <w:pPr>
        <w:tabs>
          <w:tab w:val="left" w:pos="1533"/>
        </w:tabs>
        <w:ind w:left="569" w:firstLine="566"/>
      </w:pPr>
      <w:rPr>
        <w:rFonts w:hint="eastAsia"/>
      </w:rPr>
    </w:lvl>
    <w:lvl w:ilvl="3" w:tentative="0">
      <w:start w:val="1"/>
      <w:numFmt w:val="decimal"/>
      <w:lvlText w:val="%1.%2.%3.%4"/>
      <w:lvlJc w:val="left"/>
      <w:pPr>
        <w:tabs>
          <w:tab w:val="left" w:pos="1107"/>
        </w:tabs>
        <w:ind w:left="256" w:firstLine="312"/>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6">
    <w:nsid w:val="2ED72C6B"/>
    <w:multiLevelType w:val="multilevel"/>
    <w:tmpl w:val="2ED72C6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4B54400"/>
    <w:multiLevelType w:val="multilevel"/>
    <w:tmpl w:val="34B54400"/>
    <w:lvl w:ilvl="0" w:tentative="0">
      <w:start w:val="1"/>
      <w:numFmt w:val="decimal"/>
      <w:lvlText w:val="%1、"/>
      <w:lvlJc w:val="left"/>
      <w:pPr>
        <w:ind w:left="1300" w:hanging="8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69F532E"/>
    <w:multiLevelType w:val="multilevel"/>
    <w:tmpl w:val="369F532E"/>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9">
    <w:nsid w:val="45021815"/>
    <w:multiLevelType w:val="multilevel"/>
    <w:tmpl w:val="45021815"/>
    <w:lvl w:ilvl="0" w:tentative="0">
      <w:start w:val="1"/>
      <w:numFmt w:val="chineseCountingThousand"/>
      <w:lvlText w:val="%1"/>
      <w:lvlJc w:val="left"/>
      <w:pPr>
        <w:tabs>
          <w:tab w:val="left" w:pos="482"/>
        </w:tabs>
        <w:ind w:left="0" w:firstLine="482"/>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68991055"/>
    <w:multiLevelType w:val="multilevel"/>
    <w:tmpl w:val="68991055"/>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B59B5BB"/>
    <w:multiLevelType w:val="singleLevel"/>
    <w:tmpl w:val="7B59B5BB"/>
    <w:lvl w:ilvl="0" w:tentative="0">
      <w:start w:val="1"/>
      <w:numFmt w:val="chineseCounting"/>
      <w:suff w:val="nothing"/>
      <w:lvlText w:val="（%1）"/>
      <w:lvlJc w:val="left"/>
      <w:pPr>
        <w:ind w:left="0" w:firstLine="420"/>
      </w:pPr>
      <w:rPr>
        <w:rFonts w:hint="eastAsia"/>
      </w:rPr>
    </w:lvl>
  </w:abstractNum>
  <w:abstractNum w:abstractNumId="12">
    <w:nsid w:val="7D63214F"/>
    <w:multiLevelType w:val="multilevel"/>
    <w:tmpl w:val="7D63214F"/>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7"/>
  </w:num>
  <w:num w:numId="2">
    <w:abstractNumId w:val="9"/>
  </w:num>
  <w:num w:numId="3">
    <w:abstractNumId w:val="10"/>
  </w:num>
  <w:num w:numId="4">
    <w:abstractNumId w:val="1"/>
  </w:num>
  <w:num w:numId="5">
    <w:abstractNumId w:val="6"/>
  </w:num>
  <w:num w:numId="6">
    <w:abstractNumId w:val="5"/>
  </w:num>
  <w:num w:numId="7">
    <w:abstractNumId w:val="12"/>
  </w:num>
  <w:num w:numId="8">
    <w:abstractNumId w:val="4"/>
  </w:num>
  <w:num w:numId="9">
    <w:abstractNumId w:val="11"/>
    <w:lvlOverride w:ilvl="0">
      <w:startOverride w:val="1"/>
    </w:lvlOverride>
  </w:num>
  <w:num w:numId="10">
    <w:abstractNumId w:val="0"/>
    <w:lvlOverride w:ilvl="0">
      <w:startOverride w:val="1"/>
    </w:lvlOverride>
  </w:num>
  <w:num w:numId="11">
    <w:abstractNumId w:val="2"/>
  </w:num>
  <w:num w:numId="12">
    <w:abstractNumId w:val="8"/>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FmZWY5OGYxYTQ1MzEzMDRmMTBiMjMwZmY4ZjkxOGYifQ=="/>
  </w:docVars>
  <w:rsids>
    <w:rsidRoot w:val="00110A5B"/>
    <w:rsid w:val="00001704"/>
    <w:rsid w:val="00002BB2"/>
    <w:rsid w:val="00004059"/>
    <w:rsid w:val="000042F0"/>
    <w:rsid w:val="00006C18"/>
    <w:rsid w:val="00006CD8"/>
    <w:rsid w:val="0000745A"/>
    <w:rsid w:val="00007675"/>
    <w:rsid w:val="000100B4"/>
    <w:rsid w:val="000105F2"/>
    <w:rsid w:val="00010AC2"/>
    <w:rsid w:val="00010F59"/>
    <w:rsid w:val="00012326"/>
    <w:rsid w:val="00013BF4"/>
    <w:rsid w:val="0001441B"/>
    <w:rsid w:val="000159C4"/>
    <w:rsid w:val="00015E2A"/>
    <w:rsid w:val="00015FC5"/>
    <w:rsid w:val="00017B72"/>
    <w:rsid w:val="00021458"/>
    <w:rsid w:val="00021AE7"/>
    <w:rsid w:val="0002338B"/>
    <w:rsid w:val="0002363D"/>
    <w:rsid w:val="00024228"/>
    <w:rsid w:val="00024641"/>
    <w:rsid w:val="00025076"/>
    <w:rsid w:val="000250F8"/>
    <w:rsid w:val="00025308"/>
    <w:rsid w:val="00025375"/>
    <w:rsid w:val="000261CA"/>
    <w:rsid w:val="00030B34"/>
    <w:rsid w:val="00030EA8"/>
    <w:rsid w:val="0003172E"/>
    <w:rsid w:val="00031CFD"/>
    <w:rsid w:val="000326B3"/>
    <w:rsid w:val="00032D90"/>
    <w:rsid w:val="00033DAD"/>
    <w:rsid w:val="00036BE3"/>
    <w:rsid w:val="00036F7B"/>
    <w:rsid w:val="00040116"/>
    <w:rsid w:val="0004037E"/>
    <w:rsid w:val="0004072F"/>
    <w:rsid w:val="00041CC7"/>
    <w:rsid w:val="00042AAD"/>
    <w:rsid w:val="00047163"/>
    <w:rsid w:val="00047990"/>
    <w:rsid w:val="00047FFE"/>
    <w:rsid w:val="000505E5"/>
    <w:rsid w:val="000509DA"/>
    <w:rsid w:val="00050BEE"/>
    <w:rsid w:val="00050F4A"/>
    <w:rsid w:val="000510B6"/>
    <w:rsid w:val="00051530"/>
    <w:rsid w:val="0005160E"/>
    <w:rsid w:val="00051E31"/>
    <w:rsid w:val="00052D11"/>
    <w:rsid w:val="0005300A"/>
    <w:rsid w:val="000535EE"/>
    <w:rsid w:val="00054B81"/>
    <w:rsid w:val="000561E4"/>
    <w:rsid w:val="00056E42"/>
    <w:rsid w:val="000574EF"/>
    <w:rsid w:val="0006028B"/>
    <w:rsid w:val="00060D40"/>
    <w:rsid w:val="00060E68"/>
    <w:rsid w:val="00062D3B"/>
    <w:rsid w:val="00062DDB"/>
    <w:rsid w:val="00063DCF"/>
    <w:rsid w:val="0006475B"/>
    <w:rsid w:val="00064F9C"/>
    <w:rsid w:val="0006510D"/>
    <w:rsid w:val="000657D8"/>
    <w:rsid w:val="00065C92"/>
    <w:rsid w:val="00066014"/>
    <w:rsid w:val="000667AF"/>
    <w:rsid w:val="00067545"/>
    <w:rsid w:val="00067666"/>
    <w:rsid w:val="00067EFF"/>
    <w:rsid w:val="00070B75"/>
    <w:rsid w:val="00071510"/>
    <w:rsid w:val="000719A0"/>
    <w:rsid w:val="00071E04"/>
    <w:rsid w:val="00072B91"/>
    <w:rsid w:val="00073C57"/>
    <w:rsid w:val="00074078"/>
    <w:rsid w:val="000751E1"/>
    <w:rsid w:val="000762CD"/>
    <w:rsid w:val="00076875"/>
    <w:rsid w:val="00077E06"/>
    <w:rsid w:val="0008114A"/>
    <w:rsid w:val="00081C5E"/>
    <w:rsid w:val="00081FD4"/>
    <w:rsid w:val="00083C55"/>
    <w:rsid w:val="000844D8"/>
    <w:rsid w:val="00085920"/>
    <w:rsid w:val="00085AA2"/>
    <w:rsid w:val="00085AC0"/>
    <w:rsid w:val="0009031F"/>
    <w:rsid w:val="00090C49"/>
    <w:rsid w:val="00092C3B"/>
    <w:rsid w:val="000933BD"/>
    <w:rsid w:val="000937A5"/>
    <w:rsid w:val="00095667"/>
    <w:rsid w:val="00095A6D"/>
    <w:rsid w:val="00095E99"/>
    <w:rsid w:val="00096870"/>
    <w:rsid w:val="00096D97"/>
    <w:rsid w:val="000970CA"/>
    <w:rsid w:val="000A027B"/>
    <w:rsid w:val="000A0A7A"/>
    <w:rsid w:val="000A1928"/>
    <w:rsid w:val="000A1F76"/>
    <w:rsid w:val="000A2430"/>
    <w:rsid w:val="000A36B4"/>
    <w:rsid w:val="000A4623"/>
    <w:rsid w:val="000A48BF"/>
    <w:rsid w:val="000A679C"/>
    <w:rsid w:val="000A7B66"/>
    <w:rsid w:val="000B168F"/>
    <w:rsid w:val="000B1BAC"/>
    <w:rsid w:val="000B22AB"/>
    <w:rsid w:val="000B247C"/>
    <w:rsid w:val="000B3A9E"/>
    <w:rsid w:val="000B4A0B"/>
    <w:rsid w:val="000B53C1"/>
    <w:rsid w:val="000B7F94"/>
    <w:rsid w:val="000C01D4"/>
    <w:rsid w:val="000C04ED"/>
    <w:rsid w:val="000C0D98"/>
    <w:rsid w:val="000C19F4"/>
    <w:rsid w:val="000C2972"/>
    <w:rsid w:val="000C5989"/>
    <w:rsid w:val="000D08EA"/>
    <w:rsid w:val="000D1CEB"/>
    <w:rsid w:val="000D312D"/>
    <w:rsid w:val="000D4AA2"/>
    <w:rsid w:val="000D500F"/>
    <w:rsid w:val="000D64B4"/>
    <w:rsid w:val="000D6823"/>
    <w:rsid w:val="000D6D66"/>
    <w:rsid w:val="000E0435"/>
    <w:rsid w:val="000E081B"/>
    <w:rsid w:val="000E0A7E"/>
    <w:rsid w:val="000E1168"/>
    <w:rsid w:val="000E1909"/>
    <w:rsid w:val="000E2011"/>
    <w:rsid w:val="000E2BE3"/>
    <w:rsid w:val="000E2CA9"/>
    <w:rsid w:val="000E378D"/>
    <w:rsid w:val="000E382F"/>
    <w:rsid w:val="000E3C67"/>
    <w:rsid w:val="000E7C52"/>
    <w:rsid w:val="000E7F8B"/>
    <w:rsid w:val="000F0991"/>
    <w:rsid w:val="000F0E0D"/>
    <w:rsid w:val="000F1455"/>
    <w:rsid w:val="000F1725"/>
    <w:rsid w:val="000F2F16"/>
    <w:rsid w:val="000F31BF"/>
    <w:rsid w:val="000F35AE"/>
    <w:rsid w:val="000F5C8C"/>
    <w:rsid w:val="000F71F4"/>
    <w:rsid w:val="000F77AD"/>
    <w:rsid w:val="000F7917"/>
    <w:rsid w:val="00100B69"/>
    <w:rsid w:val="00101ABC"/>
    <w:rsid w:val="00101DBC"/>
    <w:rsid w:val="0010461D"/>
    <w:rsid w:val="00106608"/>
    <w:rsid w:val="0010689F"/>
    <w:rsid w:val="00106D40"/>
    <w:rsid w:val="001071F6"/>
    <w:rsid w:val="00110A5B"/>
    <w:rsid w:val="00111352"/>
    <w:rsid w:val="00111B4C"/>
    <w:rsid w:val="00111CE4"/>
    <w:rsid w:val="001129F9"/>
    <w:rsid w:val="00112D09"/>
    <w:rsid w:val="00113491"/>
    <w:rsid w:val="00114744"/>
    <w:rsid w:val="00114870"/>
    <w:rsid w:val="0011493D"/>
    <w:rsid w:val="00114A7F"/>
    <w:rsid w:val="00116DFB"/>
    <w:rsid w:val="00117852"/>
    <w:rsid w:val="00121047"/>
    <w:rsid w:val="00121D05"/>
    <w:rsid w:val="00121FC9"/>
    <w:rsid w:val="00123518"/>
    <w:rsid w:val="00123E39"/>
    <w:rsid w:val="00123EA1"/>
    <w:rsid w:val="001243CD"/>
    <w:rsid w:val="001244B7"/>
    <w:rsid w:val="001277E7"/>
    <w:rsid w:val="00130002"/>
    <w:rsid w:val="00130C27"/>
    <w:rsid w:val="001311AB"/>
    <w:rsid w:val="001311D1"/>
    <w:rsid w:val="001325B1"/>
    <w:rsid w:val="00133A06"/>
    <w:rsid w:val="00133CE7"/>
    <w:rsid w:val="00134520"/>
    <w:rsid w:val="00135050"/>
    <w:rsid w:val="00135D54"/>
    <w:rsid w:val="001362DA"/>
    <w:rsid w:val="00137D71"/>
    <w:rsid w:val="00140208"/>
    <w:rsid w:val="00141B89"/>
    <w:rsid w:val="001431AD"/>
    <w:rsid w:val="00146706"/>
    <w:rsid w:val="001475F3"/>
    <w:rsid w:val="00147927"/>
    <w:rsid w:val="00147C42"/>
    <w:rsid w:val="00147E86"/>
    <w:rsid w:val="00150263"/>
    <w:rsid w:val="00150278"/>
    <w:rsid w:val="00150985"/>
    <w:rsid w:val="001514AA"/>
    <w:rsid w:val="00154E41"/>
    <w:rsid w:val="001551FA"/>
    <w:rsid w:val="00155CE0"/>
    <w:rsid w:val="0015605C"/>
    <w:rsid w:val="00156978"/>
    <w:rsid w:val="00156F69"/>
    <w:rsid w:val="00157963"/>
    <w:rsid w:val="00157F56"/>
    <w:rsid w:val="001603BC"/>
    <w:rsid w:val="00160C1F"/>
    <w:rsid w:val="00160C3C"/>
    <w:rsid w:val="001613E6"/>
    <w:rsid w:val="00162C47"/>
    <w:rsid w:val="001635DF"/>
    <w:rsid w:val="00165C0B"/>
    <w:rsid w:val="00167575"/>
    <w:rsid w:val="00167976"/>
    <w:rsid w:val="00167A26"/>
    <w:rsid w:val="001705F0"/>
    <w:rsid w:val="00170EC7"/>
    <w:rsid w:val="00171210"/>
    <w:rsid w:val="00172049"/>
    <w:rsid w:val="00174A26"/>
    <w:rsid w:val="00176619"/>
    <w:rsid w:val="00176DD7"/>
    <w:rsid w:val="00177D45"/>
    <w:rsid w:val="00177DB5"/>
    <w:rsid w:val="00177E38"/>
    <w:rsid w:val="0018011D"/>
    <w:rsid w:val="00180C8F"/>
    <w:rsid w:val="00180CF6"/>
    <w:rsid w:val="001827D2"/>
    <w:rsid w:val="00182DD0"/>
    <w:rsid w:val="00183D0C"/>
    <w:rsid w:val="00183E62"/>
    <w:rsid w:val="00184A66"/>
    <w:rsid w:val="00185223"/>
    <w:rsid w:val="001854E9"/>
    <w:rsid w:val="0018672A"/>
    <w:rsid w:val="0019022E"/>
    <w:rsid w:val="00190984"/>
    <w:rsid w:val="00192103"/>
    <w:rsid w:val="0019324C"/>
    <w:rsid w:val="00194AF5"/>
    <w:rsid w:val="00195657"/>
    <w:rsid w:val="00196B12"/>
    <w:rsid w:val="00196C37"/>
    <w:rsid w:val="001A0791"/>
    <w:rsid w:val="001A27FE"/>
    <w:rsid w:val="001A2AE9"/>
    <w:rsid w:val="001A353F"/>
    <w:rsid w:val="001A359A"/>
    <w:rsid w:val="001A3C70"/>
    <w:rsid w:val="001A3ED2"/>
    <w:rsid w:val="001A4218"/>
    <w:rsid w:val="001A4747"/>
    <w:rsid w:val="001A4E57"/>
    <w:rsid w:val="001A57DC"/>
    <w:rsid w:val="001A732C"/>
    <w:rsid w:val="001A74A9"/>
    <w:rsid w:val="001A7A5C"/>
    <w:rsid w:val="001A7D7C"/>
    <w:rsid w:val="001A7FD0"/>
    <w:rsid w:val="001B0263"/>
    <w:rsid w:val="001B0632"/>
    <w:rsid w:val="001B0ECD"/>
    <w:rsid w:val="001B164C"/>
    <w:rsid w:val="001B19C7"/>
    <w:rsid w:val="001B1A8C"/>
    <w:rsid w:val="001B1EB0"/>
    <w:rsid w:val="001B2974"/>
    <w:rsid w:val="001B45B6"/>
    <w:rsid w:val="001B53A6"/>
    <w:rsid w:val="001B5796"/>
    <w:rsid w:val="001B58D9"/>
    <w:rsid w:val="001B628C"/>
    <w:rsid w:val="001B7409"/>
    <w:rsid w:val="001C0216"/>
    <w:rsid w:val="001C062B"/>
    <w:rsid w:val="001C42A2"/>
    <w:rsid w:val="001C5861"/>
    <w:rsid w:val="001C682E"/>
    <w:rsid w:val="001C6BA7"/>
    <w:rsid w:val="001C736D"/>
    <w:rsid w:val="001C7746"/>
    <w:rsid w:val="001C7CEC"/>
    <w:rsid w:val="001D040D"/>
    <w:rsid w:val="001D04F3"/>
    <w:rsid w:val="001D09DF"/>
    <w:rsid w:val="001D0A28"/>
    <w:rsid w:val="001D0C13"/>
    <w:rsid w:val="001D0FBC"/>
    <w:rsid w:val="001D10D5"/>
    <w:rsid w:val="001D1473"/>
    <w:rsid w:val="001D164B"/>
    <w:rsid w:val="001D186C"/>
    <w:rsid w:val="001D2A74"/>
    <w:rsid w:val="001D4BDC"/>
    <w:rsid w:val="001D556B"/>
    <w:rsid w:val="001D572E"/>
    <w:rsid w:val="001D58BE"/>
    <w:rsid w:val="001D69CD"/>
    <w:rsid w:val="001E0639"/>
    <w:rsid w:val="001E16EB"/>
    <w:rsid w:val="001E2814"/>
    <w:rsid w:val="001E413F"/>
    <w:rsid w:val="001E4EA6"/>
    <w:rsid w:val="001E5144"/>
    <w:rsid w:val="001E5DF7"/>
    <w:rsid w:val="001E5E77"/>
    <w:rsid w:val="001E66FC"/>
    <w:rsid w:val="001E6E20"/>
    <w:rsid w:val="001E6FE3"/>
    <w:rsid w:val="001E7599"/>
    <w:rsid w:val="001E777F"/>
    <w:rsid w:val="001F0311"/>
    <w:rsid w:val="001F0C98"/>
    <w:rsid w:val="001F1C14"/>
    <w:rsid w:val="001F2307"/>
    <w:rsid w:val="001F2D66"/>
    <w:rsid w:val="001F2EE7"/>
    <w:rsid w:val="001F4B13"/>
    <w:rsid w:val="001F57BC"/>
    <w:rsid w:val="001F62D1"/>
    <w:rsid w:val="001F67F7"/>
    <w:rsid w:val="001F6997"/>
    <w:rsid w:val="00200D12"/>
    <w:rsid w:val="00202253"/>
    <w:rsid w:val="00204E07"/>
    <w:rsid w:val="00205427"/>
    <w:rsid w:val="00206246"/>
    <w:rsid w:val="00206322"/>
    <w:rsid w:val="00206914"/>
    <w:rsid w:val="00206F1D"/>
    <w:rsid w:val="00207B04"/>
    <w:rsid w:val="002113B4"/>
    <w:rsid w:val="00212844"/>
    <w:rsid w:val="00213425"/>
    <w:rsid w:val="0021367A"/>
    <w:rsid w:val="002138D0"/>
    <w:rsid w:val="00213EFF"/>
    <w:rsid w:val="00213FD8"/>
    <w:rsid w:val="0021443F"/>
    <w:rsid w:val="00214AEA"/>
    <w:rsid w:val="00215611"/>
    <w:rsid w:val="00216B38"/>
    <w:rsid w:val="00216D1C"/>
    <w:rsid w:val="002203E3"/>
    <w:rsid w:val="0022045F"/>
    <w:rsid w:val="00220704"/>
    <w:rsid w:val="00222530"/>
    <w:rsid w:val="0022308A"/>
    <w:rsid w:val="00223117"/>
    <w:rsid w:val="0022355A"/>
    <w:rsid w:val="00225108"/>
    <w:rsid w:val="00226472"/>
    <w:rsid w:val="002265E9"/>
    <w:rsid w:val="00226711"/>
    <w:rsid w:val="00226E53"/>
    <w:rsid w:val="00227278"/>
    <w:rsid w:val="00230A28"/>
    <w:rsid w:val="00230CBF"/>
    <w:rsid w:val="00231728"/>
    <w:rsid w:val="00231C03"/>
    <w:rsid w:val="00233593"/>
    <w:rsid w:val="002335F8"/>
    <w:rsid w:val="0023377E"/>
    <w:rsid w:val="00234416"/>
    <w:rsid w:val="002346F7"/>
    <w:rsid w:val="00234718"/>
    <w:rsid w:val="00234B46"/>
    <w:rsid w:val="0023679C"/>
    <w:rsid w:val="00236A05"/>
    <w:rsid w:val="00237B68"/>
    <w:rsid w:val="0024032C"/>
    <w:rsid w:val="0024068F"/>
    <w:rsid w:val="00240DB3"/>
    <w:rsid w:val="00241FF3"/>
    <w:rsid w:val="00242215"/>
    <w:rsid w:val="00242E0D"/>
    <w:rsid w:val="002436F6"/>
    <w:rsid w:val="00243DDB"/>
    <w:rsid w:val="00243FD5"/>
    <w:rsid w:val="00244E1A"/>
    <w:rsid w:val="002466F8"/>
    <w:rsid w:val="00246C72"/>
    <w:rsid w:val="00247BEF"/>
    <w:rsid w:val="00251443"/>
    <w:rsid w:val="0025144E"/>
    <w:rsid w:val="00251933"/>
    <w:rsid w:val="00251984"/>
    <w:rsid w:val="00251BB5"/>
    <w:rsid w:val="00251CEB"/>
    <w:rsid w:val="00253DF7"/>
    <w:rsid w:val="00255578"/>
    <w:rsid w:val="00255BAB"/>
    <w:rsid w:val="00255EF6"/>
    <w:rsid w:val="002560BE"/>
    <w:rsid w:val="00256DA3"/>
    <w:rsid w:val="00257162"/>
    <w:rsid w:val="0026158C"/>
    <w:rsid w:val="0026162B"/>
    <w:rsid w:val="002638EC"/>
    <w:rsid w:val="002648AE"/>
    <w:rsid w:val="00264AE6"/>
    <w:rsid w:val="00265B74"/>
    <w:rsid w:val="00266FC7"/>
    <w:rsid w:val="00270E1E"/>
    <w:rsid w:val="002711B2"/>
    <w:rsid w:val="002722BF"/>
    <w:rsid w:val="00272AD5"/>
    <w:rsid w:val="00273644"/>
    <w:rsid w:val="00273AD6"/>
    <w:rsid w:val="00274F88"/>
    <w:rsid w:val="002753EC"/>
    <w:rsid w:val="00276FEA"/>
    <w:rsid w:val="00277079"/>
    <w:rsid w:val="002772D0"/>
    <w:rsid w:val="00280E88"/>
    <w:rsid w:val="0028209E"/>
    <w:rsid w:val="002825C8"/>
    <w:rsid w:val="002847B5"/>
    <w:rsid w:val="00285753"/>
    <w:rsid w:val="00285CC4"/>
    <w:rsid w:val="00287000"/>
    <w:rsid w:val="002878BF"/>
    <w:rsid w:val="00292EA9"/>
    <w:rsid w:val="00294DCA"/>
    <w:rsid w:val="002951F8"/>
    <w:rsid w:val="002953A7"/>
    <w:rsid w:val="002959A3"/>
    <w:rsid w:val="00295CC6"/>
    <w:rsid w:val="002964B9"/>
    <w:rsid w:val="00296AD4"/>
    <w:rsid w:val="0029705D"/>
    <w:rsid w:val="00297511"/>
    <w:rsid w:val="00297AFC"/>
    <w:rsid w:val="002A0A61"/>
    <w:rsid w:val="002A0C3F"/>
    <w:rsid w:val="002A19C4"/>
    <w:rsid w:val="002A3333"/>
    <w:rsid w:val="002A386F"/>
    <w:rsid w:val="002A4E4B"/>
    <w:rsid w:val="002A510A"/>
    <w:rsid w:val="002A5625"/>
    <w:rsid w:val="002A6B24"/>
    <w:rsid w:val="002A761B"/>
    <w:rsid w:val="002A7C59"/>
    <w:rsid w:val="002B17DD"/>
    <w:rsid w:val="002B20BE"/>
    <w:rsid w:val="002B4B9A"/>
    <w:rsid w:val="002B4C61"/>
    <w:rsid w:val="002B52DC"/>
    <w:rsid w:val="002B638D"/>
    <w:rsid w:val="002B67B4"/>
    <w:rsid w:val="002B6BA6"/>
    <w:rsid w:val="002C027B"/>
    <w:rsid w:val="002C3C51"/>
    <w:rsid w:val="002C50B9"/>
    <w:rsid w:val="002C54B4"/>
    <w:rsid w:val="002C5BB9"/>
    <w:rsid w:val="002C6159"/>
    <w:rsid w:val="002C7BEA"/>
    <w:rsid w:val="002D111D"/>
    <w:rsid w:val="002D1249"/>
    <w:rsid w:val="002D2664"/>
    <w:rsid w:val="002D3AF3"/>
    <w:rsid w:val="002D3BF5"/>
    <w:rsid w:val="002D448D"/>
    <w:rsid w:val="002D6665"/>
    <w:rsid w:val="002D6B01"/>
    <w:rsid w:val="002D7B49"/>
    <w:rsid w:val="002E0D50"/>
    <w:rsid w:val="002E14E1"/>
    <w:rsid w:val="002E225B"/>
    <w:rsid w:val="002E27E5"/>
    <w:rsid w:val="002E2EA5"/>
    <w:rsid w:val="002E2FDE"/>
    <w:rsid w:val="002E385B"/>
    <w:rsid w:val="002E4161"/>
    <w:rsid w:val="002E41AD"/>
    <w:rsid w:val="002E5C75"/>
    <w:rsid w:val="002E5DAB"/>
    <w:rsid w:val="002E64E9"/>
    <w:rsid w:val="002E6629"/>
    <w:rsid w:val="002E6BB2"/>
    <w:rsid w:val="002E6CBA"/>
    <w:rsid w:val="002E6DF4"/>
    <w:rsid w:val="002F11C6"/>
    <w:rsid w:val="002F20EE"/>
    <w:rsid w:val="002F2325"/>
    <w:rsid w:val="002F3191"/>
    <w:rsid w:val="002F33A5"/>
    <w:rsid w:val="002F4235"/>
    <w:rsid w:val="002F44C6"/>
    <w:rsid w:val="002F4588"/>
    <w:rsid w:val="002F45D7"/>
    <w:rsid w:val="002F62D2"/>
    <w:rsid w:val="002F6DF9"/>
    <w:rsid w:val="002F7606"/>
    <w:rsid w:val="002F77F7"/>
    <w:rsid w:val="002F78CB"/>
    <w:rsid w:val="003000BB"/>
    <w:rsid w:val="00300674"/>
    <w:rsid w:val="00301775"/>
    <w:rsid w:val="00301AA8"/>
    <w:rsid w:val="00301D5C"/>
    <w:rsid w:val="00302D86"/>
    <w:rsid w:val="00303118"/>
    <w:rsid w:val="00303D78"/>
    <w:rsid w:val="00304A0F"/>
    <w:rsid w:val="00304D4F"/>
    <w:rsid w:val="00305176"/>
    <w:rsid w:val="00305723"/>
    <w:rsid w:val="00305953"/>
    <w:rsid w:val="00305DF9"/>
    <w:rsid w:val="00305FE7"/>
    <w:rsid w:val="00306EB8"/>
    <w:rsid w:val="00306F26"/>
    <w:rsid w:val="0030764A"/>
    <w:rsid w:val="0031078B"/>
    <w:rsid w:val="00310D50"/>
    <w:rsid w:val="00313CFF"/>
    <w:rsid w:val="00313E20"/>
    <w:rsid w:val="00314756"/>
    <w:rsid w:val="00314B8A"/>
    <w:rsid w:val="0031582C"/>
    <w:rsid w:val="003162A4"/>
    <w:rsid w:val="00316CEE"/>
    <w:rsid w:val="00317CEB"/>
    <w:rsid w:val="003201F3"/>
    <w:rsid w:val="003203F2"/>
    <w:rsid w:val="0032056E"/>
    <w:rsid w:val="003211EF"/>
    <w:rsid w:val="003212DE"/>
    <w:rsid w:val="00321E2A"/>
    <w:rsid w:val="003226E1"/>
    <w:rsid w:val="00323936"/>
    <w:rsid w:val="0032513A"/>
    <w:rsid w:val="0032572F"/>
    <w:rsid w:val="003261E8"/>
    <w:rsid w:val="00326E8F"/>
    <w:rsid w:val="00327155"/>
    <w:rsid w:val="00330B31"/>
    <w:rsid w:val="0033239C"/>
    <w:rsid w:val="003329B1"/>
    <w:rsid w:val="00333101"/>
    <w:rsid w:val="003338F7"/>
    <w:rsid w:val="0033409C"/>
    <w:rsid w:val="0033457B"/>
    <w:rsid w:val="003345AB"/>
    <w:rsid w:val="00334D51"/>
    <w:rsid w:val="00335B81"/>
    <w:rsid w:val="003369B9"/>
    <w:rsid w:val="00337EE2"/>
    <w:rsid w:val="003408D6"/>
    <w:rsid w:val="00340A1A"/>
    <w:rsid w:val="00340A23"/>
    <w:rsid w:val="00341D9A"/>
    <w:rsid w:val="00341E9C"/>
    <w:rsid w:val="00341F6B"/>
    <w:rsid w:val="0034466E"/>
    <w:rsid w:val="00344864"/>
    <w:rsid w:val="00344C98"/>
    <w:rsid w:val="00344E77"/>
    <w:rsid w:val="00346BE6"/>
    <w:rsid w:val="00350771"/>
    <w:rsid w:val="00352C00"/>
    <w:rsid w:val="0035319D"/>
    <w:rsid w:val="003533A3"/>
    <w:rsid w:val="00353C09"/>
    <w:rsid w:val="00354D8E"/>
    <w:rsid w:val="00355A75"/>
    <w:rsid w:val="003568B5"/>
    <w:rsid w:val="003577D5"/>
    <w:rsid w:val="003578F0"/>
    <w:rsid w:val="00357C72"/>
    <w:rsid w:val="00360692"/>
    <w:rsid w:val="0036365E"/>
    <w:rsid w:val="00363E6E"/>
    <w:rsid w:val="00365E29"/>
    <w:rsid w:val="00366019"/>
    <w:rsid w:val="00366125"/>
    <w:rsid w:val="00370AC5"/>
    <w:rsid w:val="0037119F"/>
    <w:rsid w:val="003724FD"/>
    <w:rsid w:val="00372531"/>
    <w:rsid w:val="0037260E"/>
    <w:rsid w:val="00373012"/>
    <w:rsid w:val="00374138"/>
    <w:rsid w:val="00374FB4"/>
    <w:rsid w:val="0037523C"/>
    <w:rsid w:val="00375ABD"/>
    <w:rsid w:val="00377035"/>
    <w:rsid w:val="00377963"/>
    <w:rsid w:val="003811D6"/>
    <w:rsid w:val="00382FC3"/>
    <w:rsid w:val="00383DC5"/>
    <w:rsid w:val="00385050"/>
    <w:rsid w:val="00387BEC"/>
    <w:rsid w:val="00387D9F"/>
    <w:rsid w:val="00390B8C"/>
    <w:rsid w:val="00390F8B"/>
    <w:rsid w:val="00391483"/>
    <w:rsid w:val="0039268A"/>
    <w:rsid w:val="00392EB6"/>
    <w:rsid w:val="00393E20"/>
    <w:rsid w:val="00394048"/>
    <w:rsid w:val="00396935"/>
    <w:rsid w:val="00396FEC"/>
    <w:rsid w:val="003978C0"/>
    <w:rsid w:val="003A0427"/>
    <w:rsid w:val="003A0FAB"/>
    <w:rsid w:val="003A1080"/>
    <w:rsid w:val="003A291C"/>
    <w:rsid w:val="003A3975"/>
    <w:rsid w:val="003A3BC3"/>
    <w:rsid w:val="003A3FF8"/>
    <w:rsid w:val="003A434F"/>
    <w:rsid w:val="003A44E1"/>
    <w:rsid w:val="003A67EB"/>
    <w:rsid w:val="003A6C7A"/>
    <w:rsid w:val="003A7CE5"/>
    <w:rsid w:val="003B0C53"/>
    <w:rsid w:val="003B0FC5"/>
    <w:rsid w:val="003B2881"/>
    <w:rsid w:val="003B2D56"/>
    <w:rsid w:val="003B3251"/>
    <w:rsid w:val="003B3325"/>
    <w:rsid w:val="003B4129"/>
    <w:rsid w:val="003B44AB"/>
    <w:rsid w:val="003B453A"/>
    <w:rsid w:val="003B4811"/>
    <w:rsid w:val="003B52EC"/>
    <w:rsid w:val="003B584B"/>
    <w:rsid w:val="003B6590"/>
    <w:rsid w:val="003B70B7"/>
    <w:rsid w:val="003C25E3"/>
    <w:rsid w:val="003C26A0"/>
    <w:rsid w:val="003C60F3"/>
    <w:rsid w:val="003C6D0C"/>
    <w:rsid w:val="003C7C3E"/>
    <w:rsid w:val="003D0B79"/>
    <w:rsid w:val="003D15A6"/>
    <w:rsid w:val="003D192D"/>
    <w:rsid w:val="003D1F87"/>
    <w:rsid w:val="003D2651"/>
    <w:rsid w:val="003D29EE"/>
    <w:rsid w:val="003D4A52"/>
    <w:rsid w:val="003D573E"/>
    <w:rsid w:val="003D5B6C"/>
    <w:rsid w:val="003D5E21"/>
    <w:rsid w:val="003D6AA8"/>
    <w:rsid w:val="003D6CA6"/>
    <w:rsid w:val="003E013A"/>
    <w:rsid w:val="003E0210"/>
    <w:rsid w:val="003E0D0C"/>
    <w:rsid w:val="003E4B5A"/>
    <w:rsid w:val="003E4D09"/>
    <w:rsid w:val="003E4EEE"/>
    <w:rsid w:val="003E55B7"/>
    <w:rsid w:val="003E64AD"/>
    <w:rsid w:val="003E6819"/>
    <w:rsid w:val="003E754B"/>
    <w:rsid w:val="003E7BE0"/>
    <w:rsid w:val="003F0853"/>
    <w:rsid w:val="003F2054"/>
    <w:rsid w:val="003F24ED"/>
    <w:rsid w:val="003F2DFA"/>
    <w:rsid w:val="003F3ACB"/>
    <w:rsid w:val="003F6159"/>
    <w:rsid w:val="003F66B4"/>
    <w:rsid w:val="003F73EA"/>
    <w:rsid w:val="00400C64"/>
    <w:rsid w:val="00401BF5"/>
    <w:rsid w:val="00401FC5"/>
    <w:rsid w:val="00401FF4"/>
    <w:rsid w:val="004029F7"/>
    <w:rsid w:val="0040313C"/>
    <w:rsid w:val="004031B0"/>
    <w:rsid w:val="004035D7"/>
    <w:rsid w:val="004055EE"/>
    <w:rsid w:val="00405D2C"/>
    <w:rsid w:val="00405E4C"/>
    <w:rsid w:val="00406A7A"/>
    <w:rsid w:val="0040775A"/>
    <w:rsid w:val="00410AC9"/>
    <w:rsid w:val="004113D5"/>
    <w:rsid w:val="00411776"/>
    <w:rsid w:val="004121AC"/>
    <w:rsid w:val="00412286"/>
    <w:rsid w:val="0041239D"/>
    <w:rsid w:val="0041421D"/>
    <w:rsid w:val="004146F3"/>
    <w:rsid w:val="00415813"/>
    <w:rsid w:val="00415AA3"/>
    <w:rsid w:val="00416400"/>
    <w:rsid w:val="004168A6"/>
    <w:rsid w:val="00416959"/>
    <w:rsid w:val="00416E74"/>
    <w:rsid w:val="00420288"/>
    <w:rsid w:val="00421685"/>
    <w:rsid w:val="00421F46"/>
    <w:rsid w:val="0042374D"/>
    <w:rsid w:val="00424C82"/>
    <w:rsid w:val="004260EE"/>
    <w:rsid w:val="00426438"/>
    <w:rsid w:val="00427165"/>
    <w:rsid w:val="00427C5F"/>
    <w:rsid w:val="00431C4F"/>
    <w:rsid w:val="004322BC"/>
    <w:rsid w:val="004322CE"/>
    <w:rsid w:val="00433F2B"/>
    <w:rsid w:val="00434ED2"/>
    <w:rsid w:val="00434EF8"/>
    <w:rsid w:val="00435D74"/>
    <w:rsid w:val="0043635D"/>
    <w:rsid w:val="004366DE"/>
    <w:rsid w:val="00437D2B"/>
    <w:rsid w:val="00440530"/>
    <w:rsid w:val="00440CEF"/>
    <w:rsid w:val="00441920"/>
    <w:rsid w:val="00442960"/>
    <w:rsid w:val="00442B9C"/>
    <w:rsid w:val="00442DC9"/>
    <w:rsid w:val="00443BA6"/>
    <w:rsid w:val="0044493F"/>
    <w:rsid w:val="004449AD"/>
    <w:rsid w:val="00444FC6"/>
    <w:rsid w:val="004455B9"/>
    <w:rsid w:val="0044579D"/>
    <w:rsid w:val="004457ED"/>
    <w:rsid w:val="0044664F"/>
    <w:rsid w:val="00447B2F"/>
    <w:rsid w:val="00450423"/>
    <w:rsid w:val="004506CE"/>
    <w:rsid w:val="00450E94"/>
    <w:rsid w:val="00450FD7"/>
    <w:rsid w:val="00452326"/>
    <w:rsid w:val="004532A3"/>
    <w:rsid w:val="00455806"/>
    <w:rsid w:val="00456DE2"/>
    <w:rsid w:val="00460F68"/>
    <w:rsid w:val="00461099"/>
    <w:rsid w:val="004616F1"/>
    <w:rsid w:val="004617E0"/>
    <w:rsid w:val="00461A6B"/>
    <w:rsid w:val="004623DD"/>
    <w:rsid w:val="00464109"/>
    <w:rsid w:val="004644CF"/>
    <w:rsid w:val="00466C90"/>
    <w:rsid w:val="004674C1"/>
    <w:rsid w:val="004674E7"/>
    <w:rsid w:val="0047014E"/>
    <w:rsid w:val="004701BD"/>
    <w:rsid w:val="0047208F"/>
    <w:rsid w:val="0047494D"/>
    <w:rsid w:val="00476014"/>
    <w:rsid w:val="00476728"/>
    <w:rsid w:val="00476797"/>
    <w:rsid w:val="004768A5"/>
    <w:rsid w:val="00476D7D"/>
    <w:rsid w:val="004804EC"/>
    <w:rsid w:val="00480660"/>
    <w:rsid w:val="004809D9"/>
    <w:rsid w:val="0048182E"/>
    <w:rsid w:val="004818F1"/>
    <w:rsid w:val="00482302"/>
    <w:rsid w:val="0048286C"/>
    <w:rsid w:val="00482ADE"/>
    <w:rsid w:val="00483474"/>
    <w:rsid w:val="00483904"/>
    <w:rsid w:val="00484205"/>
    <w:rsid w:val="004853B5"/>
    <w:rsid w:val="00485DF0"/>
    <w:rsid w:val="004862D7"/>
    <w:rsid w:val="0048638C"/>
    <w:rsid w:val="00490693"/>
    <w:rsid w:val="00490882"/>
    <w:rsid w:val="00491C2C"/>
    <w:rsid w:val="00491D84"/>
    <w:rsid w:val="00492A25"/>
    <w:rsid w:val="00495918"/>
    <w:rsid w:val="00495D58"/>
    <w:rsid w:val="004967C9"/>
    <w:rsid w:val="004970AD"/>
    <w:rsid w:val="004A0BC4"/>
    <w:rsid w:val="004A2680"/>
    <w:rsid w:val="004A3211"/>
    <w:rsid w:val="004A4908"/>
    <w:rsid w:val="004A587E"/>
    <w:rsid w:val="004A58A7"/>
    <w:rsid w:val="004A5E79"/>
    <w:rsid w:val="004A6CBB"/>
    <w:rsid w:val="004A7EC4"/>
    <w:rsid w:val="004A7EED"/>
    <w:rsid w:val="004B072A"/>
    <w:rsid w:val="004B19F3"/>
    <w:rsid w:val="004B25F6"/>
    <w:rsid w:val="004B2E0C"/>
    <w:rsid w:val="004B39BB"/>
    <w:rsid w:val="004B5678"/>
    <w:rsid w:val="004B5DE2"/>
    <w:rsid w:val="004B6DD6"/>
    <w:rsid w:val="004C0944"/>
    <w:rsid w:val="004C2A50"/>
    <w:rsid w:val="004C2C1E"/>
    <w:rsid w:val="004C5501"/>
    <w:rsid w:val="004C5827"/>
    <w:rsid w:val="004C5842"/>
    <w:rsid w:val="004C7AFC"/>
    <w:rsid w:val="004D0227"/>
    <w:rsid w:val="004D0401"/>
    <w:rsid w:val="004D1209"/>
    <w:rsid w:val="004D24CD"/>
    <w:rsid w:val="004D3D1C"/>
    <w:rsid w:val="004D418C"/>
    <w:rsid w:val="004D4CF9"/>
    <w:rsid w:val="004D4E39"/>
    <w:rsid w:val="004D510E"/>
    <w:rsid w:val="004D56D1"/>
    <w:rsid w:val="004D5C95"/>
    <w:rsid w:val="004D600E"/>
    <w:rsid w:val="004D6094"/>
    <w:rsid w:val="004D6942"/>
    <w:rsid w:val="004D7515"/>
    <w:rsid w:val="004D7863"/>
    <w:rsid w:val="004D7945"/>
    <w:rsid w:val="004E0174"/>
    <w:rsid w:val="004E1A2A"/>
    <w:rsid w:val="004E1FEB"/>
    <w:rsid w:val="004E2451"/>
    <w:rsid w:val="004E2D1F"/>
    <w:rsid w:val="004E2D24"/>
    <w:rsid w:val="004E677A"/>
    <w:rsid w:val="004E7772"/>
    <w:rsid w:val="004E7891"/>
    <w:rsid w:val="004E7A38"/>
    <w:rsid w:val="004E7DC7"/>
    <w:rsid w:val="004F2447"/>
    <w:rsid w:val="004F2683"/>
    <w:rsid w:val="004F53D2"/>
    <w:rsid w:val="004F56C0"/>
    <w:rsid w:val="004F6348"/>
    <w:rsid w:val="004F67A2"/>
    <w:rsid w:val="004F7901"/>
    <w:rsid w:val="00500251"/>
    <w:rsid w:val="00500399"/>
    <w:rsid w:val="0050045A"/>
    <w:rsid w:val="00501455"/>
    <w:rsid w:val="00501F0E"/>
    <w:rsid w:val="00502371"/>
    <w:rsid w:val="00502647"/>
    <w:rsid w:val="005039E2"/>
    <w:rsid w:val="005058C9"/>
    <w:rsid w:val="00505BB1"/>
    <w:rsid w:val="00505CF4"/>
    <w:rsid w:val="00506CB9"/>
    <w:rsid w:val="005075CE"/>
    <w:rsid w:val="00507A14"/>
    <w:rsid w:val="00507A50"/>
    <w:rsid w:val="00510026"/>
    <w:rsid w:val="0051052F"/>
    <w:rsid w:val="00511232"/>
    <w:rsid w:val="0051174A"/>
    <w:rsid w:val="005124CE"/>
    <w:rsid w:val="00512C81"/>
    <w:rsid w:val="00513C14"/>
    <w:rsid w:val="005143FC"/>
    <w:rsid w:val="00514D7E"/>
    <w:rsid w:val="00515452"/>
    <w:rsid w:val="0051714C"/>
    <w:rsid w:val="00521991"/>
    <w:rsid w:val="00522B93"/>
    <w:rsid w:val="00523562"/>
    <w:rsid w:val="00524465"/>
    <w:rsid w:val="00524F53"/>
    <w:rsid w:val="005257C5"/>
    <w:rsid w:val="00527BE0"/>
    <w:rsid w:val="00527FEA"/>
    <w:rsid w:val="00530394"/>
    <w:rsid w:val="005307EE"/>
    <w:rsid w:val="00534C2A"/>
    <w:rsid w:val="00534F2D"/>
    <w:rsid w:val="00535273"/>
    <w:rsid w:val="00536B64"/>
    <w:rsid w:val="00536EC9"/>
    <w:rsid w:val="0053748C"/>
    <w:rsid w:val="00540598"/>
    <w:rsid w:val="005406B4"/>
    <w:rsid w:val="005408D7"/>
    <w:rsid w:val="005409D8"/>
    <w:rsid w:val="00540F6B"/>
    <w:rsid w:val="0054232C"/>
    <w:rsid w:val="00542561"/>
    <w:rsid w:val="00543D8B"/>
    <w:rsid w:val="0054453A"/>
    <w:rsid w:val="0054459E"/>
    <w:rsid w:val="00544A49"/>
    <w:rsid w:val="00544A92"/>
    <w:rsid w:val="00544ECE"/>
    <w:rsid w:val="005453CE"/>
    <w:rsid w:val="005458A7"/>
    <w:rsid w:val="00545CBF"/>
    <w:rsid w:val="005464FC"/>
    <w:rsid w:val="005477E6"/>
    <w:rsid w:val="00547D1B"/>
    <w:rsid w:val="00547D58"/>
    <w:rsid w:val="005518E1"/>
    <w:rsid w:val="00551C62"/>
    <w:rsid w:val="005525C0"/>
    <w:rsid w:val="00552C91"/>
    <w:rsid w:val="00554675"/>
    <w:rsid w:val="00554862"/>
    <w:rsid w:val="00554BE2"/>
    <w:rsid w:val="005553E1"/>
    <w:rsid w:val="00556EE2"/>
    <w:rsid w:val="00556EEC"/>
    <w:rsid w:val="00561438"/>
    <w:rsid w:val="00561E17"/>
    <w:rsid w:val="005630A6"/>
    <w:rsid w:val="005633E9"/>
    <w:rsid w:val="00565A97"/>
    <w:rsid w:val="00567792"/>
    <w:rsid w:val="00567956"/>
    <w:rsid w:val="00570065"/>
    <w:rsid w:val="00570161"/>
    <w:rsid w:val="005705C7"/>
    <w:rsid w:val="00570828"/>
    <w:rsid w:val="00570922"/>
    <w:rsid w:val="00570DF4"/>
    <w:rsid w:val="0057193D"/>
    <w:rsid w:val="00572CF1"/>
    <w:rsid w:val="00573017"/>
    <w:rsid w:val="00573EE4"/>
    <w:rsid w:val="00575753"/>
    <w:rsid w:val="0057621D"/>
    <w:rsid w:val="0057625C"/>
    <w:rsid w:val="00576B5D"/>
    <w:rsid w:val="0058172D"/>
    <w:rsid w:val="005817FA"/>
    <w:rsid w:val="00581EFB"/>
    <w:rsid w:val="00583991"/>
    <w:rsid w:val="00583C94"/>
    <w:rsid w:val="005847EC"/>
    <w:rsid w:val="00584C2E"/>
    <w:rsid w:val="00584D74"/>
    <w:rsid w:val="00585DD6"/>
    <w:rsid w:val="00585EC6"/>
    <w:rsid w:val="005861D0"/>
    <w:rsid w:val="005864B7"/>
    <w:rsid w:val="00587213"/>
    <w:rsid w:val="00587664"/>
    <w:rsid w:val="005904DC"/>
    <w:rsid w:val="0059150B"/>
    <w:rsid w:val="005918B2"/>
    <w:rsid w:val="00591C74"/>
    <w:rsid w:val="00591D92"/>
    <w:rsid w:val="005921F5"/>
    <w:rsid w:val="00593883"/>
    <w:rsid w:val="0059550B"/>
    <w:rsid w:val="0059689F"/>
    <w:rsid w:val="00597C2C"/>
    <w:rsid w:val="005A028D"/>
    <w:rsid w:val="005A1091"/>
    <w:rsid w:val="005A1764"/>
    <w:rsid w:val="005A17A9"/>
    <w:rsid w:val="005A2566"/>
    <w:rsid w:val="005A42E8"/>
    <w:rsid w:val="005A4BA1"/>
    <w:rsid w:val="005A4D51"/>
    <w:rsid w:val="005A78D2"/>
    <w:rsid w:val="005A7AC9"/>
    <w:rsid w:val="005A7E10"/>
    <w:rsid w:val="005B026B"/>
    <w:rsid w:val="005B030D"/>
    <w:rsid w:val="005B0D30"/>
    <w:rsid w:val="005B1BF5"/>
    <w:rsid w:val="005B3E8B"/>
    <w:rsid w:val="005B427E"/>
    <w:rsid w:val="005B4518"/>
    <w:rsid w:val="005B4B28"/>
    <w:rsid w:val="005B63DC"/>
    <w:rsid w:val="005C0204"/>
    <w:rsid w:val="005C3061"/>
    <w:rsid w:val="005C3A1B"/>
    <w:rsid w:val="005C40C6"/>
    <w:rsid w:val="005C46CA"/>
    <w:rsid w:val="005C48D7"/>
    <w:rsid w:val="005C6AEB"/>
    <w:rsid w:val="005D03C2"/>
    <w:rsid w:val="005D11DB"/>
    <w:rsid w:val="005D1833"/>
    <w:rsid w:val="005D1E91"/>
    <w:rsid w:val="005D214E"/>
    <w:rsid w:val="005D348F"/>
    <w:rsid w:val="005D3D85"/>
    <w:rsid w:val="005D4AC4"/>
    <w:rsid w:val="005D5B79"/>
    <w:rsid w:val="005D5BAB"/>
    <w:rsid w:val="005D69E8"/>
    <w:rsid w:val="005D72B0"/>
    <w:rsid w:val="005D7A37"/>
    <w:rsid w:val="005E025D"/>
    <w:rsid w:val="005E0B0C"/>
    <w:rsid w:val="005E2ACC"/>
    <w:rsid w:val="005E3BD0"/>
    <w:rsid w:val="005E496E"/>
    <w:rsid w:val="005E4EDA"/>
    <w:rsid w:val="005E5E8B"/>
    <w:rsid w:val="005E6104"/>
    <w:rsid w:val="005E7915"/>
    <w:rsid w:val="005F0100"/>
    <w:rsid w:val="005F0CD1"/>
    <w:rsid w:val="005F175E"/>
    <w:rsid w:val="005F1A15"/>
    <w:rsid w:val="005F39D6"/>
    <w:rsid w:val="005F3DB9"/>
    <w:rsid w:val="005F453F"/>
    <w:rsid w:val="005F4DF0"/>
    <w:rsid w:val="005F5992"/>
    <w:rsid w:val="005F6C6D"/>
    <w:rsid w:val="005F703E"/>
    <w:rsid w:val="005F7153"/>
    <w:rsid w:val="005F7AD0"/>
    <w:rsid w:val="0060041B"/>
    <w:rsid w:val="00600A77"/>
    <w:rsid w:val="006025F1"/>
    <w:rsid w:val="00604FBB"/>
    <w:rsid w:val="00605269"/>
    <w:rsid w:val="00605734"/>
    <w:rsid w:val="0060625B"/>
    <w:rsid w:val="006064A2"/>
    <w:rsid w:val="00606767"/>
    <w:rsid w:val="00606905"/>
    <w:rsid w:val="006109E9"/>
    <w:rsid w:val="006116AD"/>
    <w:rsid w:val="00611B40"/>
    <w:rsid w:val="00611BA4"/>
    <w:rsid w:val="0061225C"/>
    <w:rsid w:val="00612968"/>
    <w:rsid w:val="00612B49"/>
    <w:rsid w:val="006145A8"/>
    <w:rsid w:val="00614C3B"/>
    <w:rsid w:val="006162DE"/>
    <w:rsid w:val="0061669D"/>
    <w:rsid w:val="00616AB2"/>
    <w:rsid w:val="00616D3A"/>
    <w:rsid w:val="00617036"/>
    <w:rsid w:val="00617528"/>
    <w:rsid w:val="00617997"/>
    <w:rsid w:val="00622528"/>
    <w:rsid w:val="00624179"/>
    <w:rsid w:val="00624681"/>
    <w:rsid w:val="00624B78"/>
    <w:rsid w:val="0062588C"/>
    <w:rsid w:val="00626307"/>
    <w:rsid w:val="00626F6C"/>
    <w:rsid w:val="00627C3B"/>
    <w:rsid w:val="006305AC"/>
    <w:rsid w:val="00630C3C"/>
    <w:rsid w:val="00630D7F"/>
    <w:rsid w:val="006312DF"/>
    <w:rsid w:val="00634ECE"/>
    <w:rsid w:val="0063535E"/>
    <w:rsid w:val="00636E6C"/>
    <w:rsid w:val="00637423"/>
    <w:rsid w:val="0063775C"/>
    <w:rsid w:val="00637D12"/>
    <w:rsid w:val="00640DC0"/>
    <w:rsid w:val="00641769"/>
    <w:rsid w:val="0064280C"/>
    <w:rsid w:val="006428C3"/>
    <w:rsid w:val="00644191"/>
    <w:rsid w:val="00644F11"/>
    <w:rsid w:val="00645742"/>
    <w:rsid w:val="00646F28"/>
    <w:rsid w:val="00647D1F"/>
    <w:rsid w:val="00650316"/>
    <w:rsid w:val="00650F08"/>
    <w:rsid w:val="006528BB"/>
    <w:rsid w:val="00653869"/>
    <w:rsid w:val="00655B7D"/>
    <w:rsid w:val="00655FB1"/>
    <w:rsid w:val="00656A1A"/>
    <w:rsid w:val="00656AB6"/>
    <w:rsid w:val="0065749D"/>
    <w:rsid w:val="00660EE0"/>
    <w:rsid w:val="00660F8E"/>
    <w:rsid w:val="00661823"/>
    <w:rsid w:val="0066186A"/>
    <w:rsid w:val="00662420"/>
    <w:rsid w:val="006624AD"/>
    <w:rsid w:val="006624B3"/>
    <w:rsid w:val="00662F14"/>
    <w:rsid w:val="00664240"/>
    <w:rsid w:val="00664B15"/>
    <w:rsid w:val="00666541"/>
    <w:rsid w:val="0066725E"/>
    <w:rsid w:val="006678B9"/>
    <w:rsid w:val="00672070"/>
    <w:rsid w:val="006723A7"/>
    <w:rsid w:val="00672E59"/>
    <w:rsid w:val="00673139"/>
    <w:rsid w:val="006746B9"/>
    <w:rsid w:val="006769B5"/>
    <w:rsid w:val="006771DE"/>
    <w:rsid w:val="0067770E"/>
    <w:rsid w:val="00677B5E"/>
    <w:rsid w:val="0068008B"/>
    <w:rsid w:val="00681310"/>
    <w:rsid w:val="00684587"/>
    <w:rsid w:val="00684B7E"/>
    <w:rsid w:val="0068514E"/>
    <w:rsid w:val="00685478"/>
    <w:rsid w:val="006864C7"/>
    <w:rsid w:val="00686B05"/>
    <w:rsid w:val="00687378"/>
    <w:rsid w:val="006904EE"/>
    <w:rsid w:val="00691B91"/>
    <w:rsid w:val="00693C70"/>
    <w:rsid w:val="00694837"/>
    <w:rsid w:val="00694F69"/>
    <w:rsid w:val="006952A2"/>
    <w:rsid w:val="00695547"/>
    <w:rsid w:val="00695675"/>
    <w:rsid w:val="006A0A86"/>
    <w:rsid w:val="006A1DA8"/>
    <w:rsid w:val="006A2ACE"/>
    <w:rsid w:val="006A2B64"/>
    <w:rsid w:val="006A3BD0"/>
    <w:rsid w:val="006A49ED"/>
    <w:rsid w:val="006A4CEC"/>
    <w:rsid w:val="006A51BD"/>
    <w:rsid w:val="006A57F6"/>
    <w:rsid w:val="006A7376"/>
    <w:rsid w:val="006B1A60"/>
    <w:rsid w:val="006B1D0F"/>
    <w:rsid w:val="006B1D3F"/>
    <w:rsid w:val="006B2C23"/>
    <w:rsid w:val="006B2E21"/>
    <w:rsid w:val="006B33D8"/>
    <w:rsid w:val="006B3719"/>
    <w:rsid w:val="006B4521"/>
    <w:rsid w:val="006B4D25"/>
    <w:rsid w:val="006B66CC"/>
    <w:rsid w:val="006B72FC"/>
    <w:rsid w:val="006B7982"/>
    <w:rsid w:val="006B7DB1"/>
    <w:rsid w:val="006C21CC"/>
    <w:rsid w:val="006C2780"/>
    <w:rsid w:val="006C2FF0"/>
    <w:rsid w:val="006C30CF"/>
    <w:rsid w:val="006C3A9B"/>
    <w:rsid w:val="006C3BE1"/>
    <w:rsid w:val="006C3C04"/>
    <w:rsid w:val="006C549F"/>
    <w:rsid w:val="006C628C"/>
    <w:rsid w:val="006C6DBD"/>
    <w:rsid w:val="006C6E29"/>
    <w:rsid w:val="006C7103"/>
    <w:rsid w:val="006C720D"/>
    <w:rsid w:val="006C762F"/>
    <w:rsid w:val="006C76FC"/>
    <w:rsid w:val="006D145D"/>
    <w:rsid w:val="006D1FA6"/>
    <w:rsid w:val="006D4216"/>
    <w:rsid w:val="006D5763"/>
    <w:rsid w:val="006D5ACD"/>
    <w:rsid w:val="006D66C0"/>
    <w:rsid w:val="006D682D"/>
    <w:rsid w:val="006E06B7"/>
    <w:rsid w:val="006E0A6D"/>
    <w:rsid w:val="006E1B16"/>
    <w:rsid w:val="006E1BE1"/>
    <w:rsid w:val="006E36E2"/>
    <w:rsid w:val="006E3755"/>
    <w:rsid w:val="006E60B7"/>
    <w:rsid w:val="006E6470"/>
    <w:rsid w:val="006F22B7"/>
    <w:rsid w:val="006F261F"/>
    <w:rsid w:val="006F2938"/>
    <w:rsid w:val="006F2F8B"/>
    <w:rsid w:val="006F3C61"/>
    <w:rsid w:val="006F4C3A"/>
    <w:rsid w:val="006F56D7"/>
    <w:rsid w:val="006F5B06"/>
    <w:rsid w:val="006F6CEE"/>
    <w:rsid w:val="006F6DB5"/>
    <w:rsid w:val="006F7259"/>
    <w:rsid w:val="006F7B31"/>
    <w:rsid w:val="006F7D12"/>
    <w:rsid w:val="006F7E3B"/>
    <w:rsid w:val="007014B8"/>
    <w:rsid w:val="00701563"/>
    <w:rsid w:val="00702C12"/>
    <w:rsid w:val="00703AED"/>
    <w:rsid w:val="00704EBA"/>
    <w:rsid w:val="007050C2"/>
    <w:rsid w:val="007059F7"/>
    <w:rsid w:val="00705D29"/>
    <w:rsid w:val="00706469"/>
    <w:rsid w:val="00706742"/>
    <w:rsid w:val="007067F6"/>
    <w:rsid w:val="00707327"/>
    <w:rsid w:val="0071065C"/>
    <w:rsid w:val="00710AE2"/>
    <w:rsid w:val="007113D7"/>
    <w:rsid w:val="007133EC"/>
    <w:rsid w:val="007136B6"/>
    <w:rsid w:val="00713A66"/>
    <w:rsid w:val="0071439B"/>
    <w:rsid w:val="0071547F"/>
    <w:rsid w:val="00715C8D"/>
    <w:rsid w:val="007166DB"/>
    <w:rsid w:val="00716E06"/>
    <w:rsid w:val="00720FCC"/>
    <w:rsid w:val="007213FC"/>
    <w:rsid w:val="00724580"/>
    <w:rsid w:val="007255B5"/>
    <w:rsid w:val="00725F75"/>
    <w:rsid w:val="00726D42"/>
    <w:rsid w:val="00727724"/>
    <w:rsid w:val="00732D93"/>
    <w:rsid w:val="007332C4"/>
    <w:rsid w:val="00733FE5"/>
    <w:rsid w:val="00735201"/>
    <w:rsid w:val="00735405"/>
    <w:rsid w:val="007368A8"/>
    <w:rsid w:val="00736B8E"/>
    <w:rsid w:val="007374A7"/>
    <w:rsid w:val="007400A0"/>
    <w:rsid w:val="007405EA"/>
    <w:rsid w:val="00740B60"/>
    <w:rsid w:val="0074210E"/>
    <w:rsid w:val="00743230"/>
    <w:rsid w:val="0074348C"/>
    <w:rsid w:val="00744222"/>
    <w:rsid w:val="007449AC"/>
    <w:rsid w:val="0074549D"/>
    <w:rsid w:val="00745910"/>
    <w:rsid w:val="00746B6F"/>
    <w:rsid w:val="00747D50"/>
    <w:rsid w:val="00750C49"/>
    <w:rsid w:val="0075131A"/>
    <w:rsid w:val="00751E70"/>
    <w:rsid w:val="007528DA"/>
    <w:rsid w:val="007545BE"/>
    <w:rsid w:val="0075474A"/>
    <w:rsid w:val="00754C0C"/>
    <w:rsid w:val="00754DA6"/>
    <w:rsid w:val="00757DE8"/>
    <w:rsid w:val="007600AD"/>
    <w:rsid w:val="00760366"/>
    <w:rsid w:val="00760A2D"/>
    <w:rsid w:val="00761434"/>
    <w:rsid w:val="007621B3"/>
    <w:rsid w:val="0076268F"/>
    <w:rsid w:val="00762E1C"/>
    <w:rsid w:val="00763CC1"/>
    <w:rsid w:val="007657B4"/>
    <w:rsid w:val="0076670E"/>
    <w:rsid w:val="007668E0"/>
    <w:rsid w:val="007669E7"/>
    <w:rsid w:val="00766A93"/>
    <w:rsid w:val="00766F75"/>
    <w:rsid w:val="00767B1A"/>
    <w:rsid w:val="007708F1"/>
    <w:rsid w:val="00771844"/>
    <w:rsid w:val="00771A69"/>
    <w:rsid w:val="0077210F"/>
    <w:rsid w:val="00772F17"/>
    <w:rsid w:val="007738AD"/>
    <w:rsid w:val="00773C6A"/>
    <w:rsid w:val="00774301"/>
    <w:rsid w:val="00775DEF"/>
    <w:rsid w:val="007768FB"/>
    <w:rsid w:val="00776BDD"/>
    <w:rsid w:val="00780E1E"/>
    <w:rsid w:val="00781101"/>
    <w:rsid w:val="007816EC"/>
    <w:rsid w:val="007831D2"/>
    <w:rsid w:val="00783D9B"/>
    <w:rsid w:val="0078473B"/>
    <w:rsid w:val="00785213"/>
    <w:rsid w:val="00785D80"/>
    <w:rsid w:val="0078648F"/>
    <w:rsid w:val="00786C3C"/>
    <w:rsid w:val="00786EC5"/>
    <w:rsid w:val="007873DD"/>
    <w:rsid w:val="0078785A"/>
    <w:rsid w:val="007905F3"/>
    <w:rsid w:val="00790670"/>
    <w:rsid w:val="00790C7D"/>
    <w:rsid w:val="00791628"/>
    <w:rsid w:val="00793987"/>
    <w:rsid w:val="007942AE"/>
    <w:rsid w:val="00794682"/>
    <w:rsid w:val="00795363"/>
    <w:rsid w:val="0079544B"/>
    <w:rsid w:val="007959EB"/>
    <w:rsid w:val="007964CC"/>
    <w:rsid w:val="007A023C"/>
    <w:rsid w:val="007A0504"/>
    <w:rsid w:val="007A0A20"/>
    <w:rsid w:val="007A0C80"/>
    <w:rsid w:val="007A0CCD"/>
    <w:rsid w:val="007A0E35"/>
    <w:rsid w:val="007A1CB9"/>
    <w:rsid w:val="007A28B0"/>
    <w:rsid w:val="007A49D8"/>
    <w:rsid w:val="007A4A4F"/>
    <w:rsid w:val="007A538C"/>
    <w:rsid w:val="007A62ED"/>
    <w:rsid w:val="007A64B7"/>
    <w:rsid w:val="007A7B5B"/>
    <w:rsid w:val="007A7CB8"/>
    <w:rsid w:val="007B1169"/>
    <w:rsid w:val="007B1754"/>
    <w:rsid w:val="007B1B81"/>
    <w:rsid w:val="007B2081"/>
    <w:rsid w:val="007B22E7"/>
    <w:rsid w:val="007B308A"/>
    <w:rsid w:val="007B350A"/>
    <w:rsid w:val="007B450F"/>
    <w:rsid w:val="007B5058"/>
    <w:rsid w:val="007B5157"/>
    <w:rsid w:val="007B54D6"/>
    <w:rsid w:val="007B5A28"/>
    <w:rsid w:val="007B6C74"/>
    <w:rsid w:val="007B6D03"/>
    <w:rsid w:val="007C0430"/>
    <w:rsid w:val="007C21C0"/>
    <w:rsid w:val="007C227B"/>
    <w:rsid w:val="007C241F"/>
    <w:rsid w:val="007C28E4"/>
    <w:rsid w:val="007C2E6B"/>
    <w:rsid w:val="007C3143"/>
    <w:rsid w:val="007C345B"/>
    <w:rsid w:val="007C36BE"/>
    <w:rsid w:val="007C39ED"/>
    <w:rsid w:val="007C3A2E"/>
    <w:rsid w:val="007C435F"/>
    <w:rsid w:val="007C4995"/>
    <w:rsid w:val="007C4A4D"/>
    <w:rsid w:val="007C5BA1"/>
    <w:rsid w:val="007C5ECE"/>
    <w:rsid w:val="007C5F35"/>
    <w:rsid w:val="007C7CEB"/>
    <w:rsid w:val="007D057F"/>
    <w:rsid w:val="007D0924"/>
    <w:rsid w:val="007D1223"/>
    <w:rsid w:val="007D2CDE"/>
    <w:rsid w:val="007D38C3"/>
    <w:rsid w:val="007D3C1F"/>
    <w:rsid w:val="007D4915"/>
    <w:rsid w:val="007D4B64"/>
    <w:rsid w:val="007D4F1E"/>
    <w:rsid w:val="007D6849"/>
    <w:rsid w:val="007D727F"/>
    <w:rsid w:val="007D7283"/>
    <w:rsid w:val="007D793B"/>
    <w:rsid w:val="007E12E6"/>
    <w:rsid w:val="007E1522"/>
    <w:rsid w:val="007E1539"/>
    <w:rsid w:val="007E229E"/>
    <w:rsid w:val="007E2F91"/>
    <w:rsid w:val="007E3455"/>
    <w:rsid w:val="007E4291"/>
    <w:rsid w:val="007E47F6"/>
    <w:rsid w:val="007E49FE"/>
    <w:rsid w:val="007E5377"/>
    <w:rsid w:val="007E56A1"/>
    <w:rsid w:val="007E643D"/>
    <w:rsid w:val="007E64D8"/>
    <w:rsid w:val="007E6CC3"/>
    <w:rsid w:val="007F05BA"/>
    <w:rsid w:val="007F43B1"/>
    <w:rsid w:val="007F4800"/>
    <w:rsid w:val="007F78DD"/>
    <w:rsid w:val="007F7917"/>
    <w:rsid w:val="008000C5"/>
    <w:rsid w:val="008000F9"/>
    <w:rsid w:val="008022B2"/>
    <w:rsid w:val="00802492"/>
    <w:rsid w:val="00802820"/>
    <w:rsid w:val="00803605"/>
    <w:rsid w:val="00805810"/>
    <w:rsid w:val="0080600E"/>
    <w:rsid w:val="00807826"/>
    <w:rsid w:val="00810C64"/>
    <w:rsid w:val="008112A8"/>
    <w:rsid w:val="00812A81"/>
    <w:rsid w:val="00812E1B"/>
    <w:rsid w:val="008131BC"/>
    <w:rsid w:val="008131F9"/>
    <w:rsid w:val="00814498"/>
    <w:rsid w:val="00814B71"/>
    <w:rsid w:val="00814D9E"/>
    <w:rsid w:val="00814EDB"/>
    <w:rsid w:val="00814F40"/>
    <w:rsid w:val="00815465"/>
    <w:rsid w:val="008157CD"/>
    <w:rsid w:val="00815835"/>
    <w:rsid w:val="008162A9"/>
    <w:rsid w:val="008164BD"/>
    <w:rsid w:val="00816582"/>
    <w:rsid w:val="0081722E"/>
    <w:rsid w:val="00817FEF"/>
    <w:rsid w:val="00820A87"/>
    <w:rsid w:val="00820F9E"/>
    <w:rsid w:val="00821775"/>
    <w:rsid w:val="00821A15"/>
    <w:rsid w:val="0082242E"/>
    <w:rsid w:val="0082312F"/>
    <w:rsid w:val="00823486"/>
    <w:rsid w:val="00824884"/>
    <w:rsid w:val="00824D2E"/>
    <w:rsid w:val="00825284"/>
    <w:rsid w:val="008253FA"/>
    <w:rsid w:val="008263D8"/>
    <w:rsid w:val="00826656"/>
    <w:rsid w:val="00827043"/>
    <w:rsid w:val="00827095"/>
    <w:rsid w:val="008270A8"/>
    <w:rsid w:val="0083156E"/>
    <w:rsid w:val="00832B1F"/>
    <w:rsid w:val="008332BC"/>
    <w:rsid w:val="0083337F"/>
    <w:rsid w:val="00833421"/>
    <w:rsid w:val="008344EA"/>
    <w:rsid w:val="008347DD"/>
    <w:rsid w:val="00834897"/>
    <w:rsid w:val="00835E67"/>
    <w:rsid w:val="00835F9C"/>
    <w:rsid w:val="00836F7C"/>
    <w:rsid w:val="008373E3"/>
    <w:rsid w:val="0083796E"/>
    <w:rsid w:val="00837B18"/>
    <w:rsid w:val="00840D05"/>
    <w:rsid w:val="00841431"/>
    <w:rsid w:val="0084195A"/>
    <w:rsid w:val="00842AE4"/>
    <w:rsid w:val="00843CC2"/>
    <w:rsid w:val="008440DA"/>
    <w:rsid w:val="00844E03"/>
    <w:rsid w:val="00845B8E"/>
    <w:rsid w:val="00851675"/>
    <w:rsid w:val="00852B0F"/>
    <w:rsid w:val="00852C24"/>
    <w:rsid w:val="00853000"/>
    <w:rsid w:val="00854A6D"/>
    <w:rsid w:val="00854C59"/>
    <w:rsid w:val="00854C97"/>
    <w:rsid w:val="00856050"/>
    <w:rsid w:val="0085659F"/>
    <w:rsid w:val="0085677A"/>
    <w:rsid w:val="0085677B"/>
    <w:rsid w:val="00856C1D"/>
    <w:rsid w:val="00857878"/>
    <w:rsid w:val="008579FA"/>
    <w:rsid w:val="00857D34"/>
    <w:rsid w:val="00857F93"/>
    <w:rsid w:val="00860845"/>
    <w:rsid w:val="00860B02"/>
    <w:rsid w:val="008616C7"/>
    <w:rsid w:val="00861CEA"/>
    <w:rsid w:val="00861D86"/>
    <w:rsid w:val="00862491"/>
    <w:rsid w:val="008634D2"/>
    <w:rsid w:val="008638C8"/>
    <w:rsid w:val="008639E8"/>
    <w:rsid w:val="00863A98"/>
    <w:rsid w:val="008644BF"/>
    <w:rsid w:val="00864B55"/>
    <w:rsid w:val="0086558A"/>
    <w:rsid w:val="008659B1"/>
    <w:rsid w:val="00865D8A"/>
    <w:rsid w:val="00867326"/>
    <w:rsid w:val="008676FF"/>
    <w:rsid w:val="00870242"/>
    <w:rsid w:val="008704E4"/>
    <w:rsid w:val="0087085B"/>
    <w:rsid w:val="008732B0"/>
    <w:rsid w:val="00873AA1"/>
    <w:rsid w:val="008742F7"/>
    <w:rsid w:val="0087438E"/>
    <w:rsid w:val="00874451"/>
    <w:rsid w:val="00875453"/>
    <w:rsid w:val="0087555E"/>
    <w:rsid w:val="00875BF1"/>
    <w:rsid w:val="008806E4"/>
    <w:rsid w:val="00880C59"/>
    <w:rsid w:val="00881500"/>
    <w:rsid w:val="0088188E"/>
    <w:rsid w:val="00881DD5"/>
    <w:rsid w:val="00882B9C"/>
    <w:rsid w:val="00882BC0"/>
    <w:rsid w:val="008831C5"/>
    <w:rsid w:val="00885D70"/>
    <w:rsid w:val="00887D39"/>
    <w:rsid w:val="008905D7"/>
    <w:rsid w:val="00891906"/>
    <w:rsid w:val="00891ADC"/>
    <w:rsid w:val="00891C81"/>
    <w:rsid w:val="00891E96"/>
    <w:rsid w:val="00894005"/>
    <w:rsid w:val="0089413F"/>
    <w:rsid w:val="0089551E"/>
    <w:rsid w:val="00895871"/>
    <w:rsid w:val="00895F6D"/>
    <w:rsid w:val="008964F8"/>
    <w:rsid w:val="00897AA5"/>
    <w:rsid w:val="00897B68"/>
    <w:rsid w:val="00897BEA"/>
    <w:rsid w:val="008A1254"/>
    <w:rsid w:val="008A1C46"/>
    <w:rsid w:val="008A25E0"/>
    <w:rsid w:val="008A2A06"/>
    <w:rsid w:val="008A2B58"/>
    <w:rsid w:val="008A50E9"/>
    <w:rsid w:val="008A5BF6"/>
    <w:rsid w:val="008A5F9B"/>
    <w:rsid w:val="008A6946"/>
    <w:rsid w:val="008A6B43"/>
    <w:rsid w:val="008A6C43"/>
    <w:rsid w:val="008A740A"/>
    <w:rsid w:val="008A7B94"/>
    <w:rsid w:val="008B0628"/>
    <w:rsid w:val="008B0A73"/>
    <w:rsid w:val="008B0EEA"/>
    <w:rsid w:val="008B1110"/>
    <w:rsid w:val="008B19FC"/>
    <w:rsid w:val="008B1FEF"/>
    <w:rsid w:val="008B21DD"/>
    <w:rsid w:val="008B2687"/>
    <w:rsid w:val="008B3604"/>
    <w:rsid w:val="008B3AB1"/>
    <w:rsid w:val="008B401C"/>
    <w:rsid w:val="008B5478"/>
    <w:rsid w:val="008B6010"/>
    <w:rsid w:val="008B68D2"/>
    <w:rsid w:val="008B6FBE"/>
    <w:rsid w:val="008B77E1"/>
    <w:rsid w:val="008B7B1D"/>
    <w:rsid w:val="008C054D"/>
    <w:rsid w:val="008C061C"/>
    <w:rsid w:val="008C14E3"/>
    <w:rsid w:val="008C18A2"/>
    <w:rsid w:val="008C1964"/>
    <w:rsid w:val="008C1F07"/>
    <w:rsid w:val="008C278B"/>
    <w:rsid w:val="008C335D"/>
    <w:rsid w:val="008C36D2"/>
    <w:rsid w:val="008C491D"/>
    <w:rsid w:val="008C6552"/>
    <w:rsid w:val="008C678A"/>
    <w:rsid w:val="008C69B1"/>
    <w:rsid w:val="008C6BDA"/>
    <w:rsid w:val="008C7E91"/>
    <w:rsid w:val="008D074E"/>
    <w:rsid w:val="008D0D3A"/>
    <w:rsid w:val="008D0F74"/>
    <w:rsid w:val="008D12DF"/>
    <w:rsid w:val="008D172F"/>
    <w:rsid w:val="008D1E50"/>
    <w:rsid w:val="008D20F6"/>
    <w:rsid w:val="008D3DA3"/>
    <w:rsid w:val="008D5079"/>
    <w:rsid w:val="008D5503"/>
    <w:rsid w:val="008D55C3"/>
    <w:rsid w:val="008D5D12"/>
    <w:rsid w:val="008D679D"/>
    <w:rsid w:val="008D6A33"/>
    <w:rsid w:val="008D73B1"/>
    <w:rsid w:val="008D7488"/>
    <w:rsid w:val="008D77AD"/>
    <w:rsid w:val="008D7C87"/>
    <w:rsid w:val="008E0E1E"/>
    <w:rsid w:val="008E1365"/>
    <w:rsid w:val="008E2309"/>
    <w:rsid w:val="008E3651"/>
    <w:rsid w:val="008E371D"/>
    <w:rsid w:val="008E517D"/>
    <w:rsid w:val="008E656E"/>
    <w:rsid w:val="008E6866"/>
    <w:rsid w:val="008E6890"/>
    <w:rsid w:val="008F07CB"/>
    <w:rsid w:val="008F0F53"/>
    <w:rsid w:val="008F1333"/>
    <w:rsid w:val="008F3767"/>
    <w:rsid w:val="008F690D"/>
    <w:rsid w:val="008F6C77"/>
    <w:rsid w:val="008F7F58"/>
    <w:rsid w:val="0090027D"/>
    <w:rsid w:val="00900456"/>
    <w:rsid w:val="00901347"/>
    <w:rsid w:val="00901365"/>
    <w:rsid w:val="00901935"/>
    <w:rsid w:val="0090232C"/>
    <w:rsid w:val="009023DF"/>
    <w:rsid w:val="00903BE0"/>
    <w:rsid w:val="00904087"/>
    <w:rsid w:val="0090701E"/>
    <w:rsid w:val="009077C4"/>
    <w:rsid w:val="009117A0"/>
    <w:rsid w:val="009117C6"/>
    <w:rsid w:val="00912484"/>
    <w:rsid w:val="00912BC7"/>
    <w:rsid w:val="0091317F"/>
    <w:rsid w:val="009133D8"/>
    <w:rsid w:val="009157B6"/>
    <w:rsid w:val="00915FC3"/>
    <w:rsid w:val="0091609B"/>
    <w:rsid w:val="0091743E"/>
    <w:rsid w:val="00917478"/>
    <w:rsid w:val="00917F7A"/>
    <w:rsid w:val="00920C3E"/>
    <w:rsid w:val="00921599"/>
    <w:rsid w:val="00921ED8"/>
    <w:rsid w:val="009223C3"/>
    <w:rsid w:val="009229AB"/>
    <w:rsid w:val="0092376F"/>
    <w:rsid w:val="00924296"/>
    <w:rsid w:val="00924536"/>
    <w:rsid w:val="00924732"/>
    <w:rsid w:val="0092473C"/>
    <w:rsid w:val="009255A1"/>
    <w:rsid w:val="00926475"/>
    <w:rsid w:val="00926BEE"/>
    <w:rsid w:val="0092705A"/>
    <w:rsid w:val="0092707D"/>
    <w:rsid w:val="0093046D"/>
    <w:rsid w:val="00930F85"/>
    <w:rsid w:val="009316C7"/>
    <w:rsid w:val="00931BA0"/>
    <w:rsid w:val="009320BB"/>
    <w:rsid w:val="00932891"/>
    <w:rsid w:val="0093300E"/>
    <w:rsid w:val="009345C4"/>
    <w:rsid w:val="00934ACB"/>
    <w:rsid w:val="00934EF2"/>
    <w:rsid w:val="00936673"/>
    <w:rsid w:val="009368C6"/>
    <w:rsid w:val="00937DD6"/>
    <w:rsid w:val="0094056E"/>
    <w:rsid w:val="00941BEB"/>
    <w:rsid w:val="00942850"/>
    <w:rsid w:val="00944ECA"/>
    <w:rsid w:val="009458C6"/>
    <w:rsid w:val="00945D0A"/>
    <w:rsid w:val="00945D7B"/>
    <w:rsid w:val="00947E38"/>
    <w:rsid w:val="00950F08"/>
    <w:rsid w:val="00951D51"/>
    <w:rsid w:val="00951DB5"/>
    <w:rsid w:val="00954356"/>
    <w:rsid w:val="00954BE2"/>
    <w:rsid w:val="00955002"/>
    <w:rsid w:val="009566F8"/>
    <w:rsid w:val="0095780C"/>
    <w:rsid w:val="00957DB1"/>
    <w:rsid w:val="009606E9"/>
    <w:rsid w:val="0096095E"/>
    <w:rsid w:val="00960B69"/>
    <w:rsid w:val="00961719"/>
    <w:rsid w:val="00961E1B"/>
    <w:rsid w:val="0096374C"/>
    <w:rsid w:val="00964983"/>
    <w:rsid w:val="009650AE"/>
    <w:rsid w:val="0096536A"/>
    <w:rsid w:val="00966DF3"/>
    <w:rsid w:val="00967E80"/>
    <w:rsid w:val="00970B10"/>
    <w:rsid w:val="00971411"/>
    <w:rsid w:val="009714FD"/>
    <w:rsid w:val="009720F8"/>
    <w:rsid w:val="00972302"/>
    <w:rsid w:val="0097323A"/>
    <w:rsid w:val="0097352C"/>
    <w:rsid w:val="009754F8"/>
    <w:rsid w:val="00975D9B"/>
    <w:rsid w:val="00976E1A"/>
    <w:rsid w:val="00977EFB"/>
    <w:rsid w:val="00977F92"/>
    <w:rsid w:val="009819FD"/>
    <w:rsid w:val="00981E19"/>
    <w:rsid w:val="00982AC0"/>
    <w:rsid w:val="009848E3"/>
    <w:rsid w:val="00985427"/>
    <w:rsid w:val="00985B50"/>
    <w:rsid w:val="00985E37"/>
    <w:rsid w:val="00986334"/>
    <w:rsid w:val="00990023"/>
    <w:rsid w:val="00990984"/>
    <w:rsid w:val="00990ABA"/>
    <w:rsid w:val="00992A51"/>
    <w:rsid w:val="009937C9"/>
    <w:rsid w:val="00993DE3"/>
    <w:rsid w:val="0099459A"/>
    <w:rsid w:val="00994DF1"/>
    <w:rsid w:val="00994E2F"/>
    <w:rsid w:val="009962F8"/>
    <w:rsid w:val="00997983"/>
    <w:rsid w:val="009A0A19"/>
    <w:rsid w:val="009A16BC"/>
    <w:rsid w:val="009A1B35"/>
    <w:rsid w:val="009A1EB5"/>
    <w:rsid w:val="009A4904"/>
    <w:rsid w:val="009A77BA"/>
    <w:rsid w:val="009B248D"/>
    <w:rsid w:val="009B26DA"/>
    <w:rsid w:val="009B3CF9"/>
    <w:rsid w:val="009B3D27"/>
    <w:rsid w:val="009B3EEC"/>
    <w:rsid w:val="009B40C8"/>
    <w:rsid w:val="009B4692"/>
    <w:rsid w:val="009B5021"/>
    <w:rsid w:val="009B543B"/>
    <w:rsid w:val="009B57F9"/>
    <w:rsid w:val="009B670E"/>
    <w:rsid w:val="009B69FE"/>
    <w:rsid w:val="009C0137"/>
    <w:rsid w:val="009C0847"/>
    <w:rsid w:val="009C20F7"/>
    <w:rsid w:val="009C21C9"/>
    <w:rsid w:val="009C2C5D"/>
    <w:rsid w:val="009C337D"/>
    <w:rsid w:val="009C37C5"/>
    <w:rsid w:val="009C386C"/>
    <w:rsid w:val="009C38A9"/>
    <w:rsid w:val="009C62D2"/>
    <w:rsid w:val="009C663E"/>
    <w:rsid w:val="009C6D05"/>
    <w:rsid w:val="009C6E2A"/>
    <w:rsid w:val="009C72A9"/>
    <w:rsid w:val="009D0237"/>
    <w:rsid w:val="009D10F5"/>
    <w:rsid w:val="009D2868"/>
    <w:rsid w:val="009D3B59"/>
    <w:rsid w:val="009D3F22"/>
    <w:rsid w:val="009D4035"/>
    <w:rsid w:val="009D4FB1"/>
    <w:rsid w:val="009D629E"/>
    <w:rsid w:val="009D6CD1"/>
    <w:rsid w:val="009E01F4"/>
    <w:rsid w:val="009E1124"/>
    <w:rsid w:val="009E2A14"/>
    <w:rsid w:val="009E36D1"/>
    <w:rsid w:val="009E36F5"/>
    <w:rsid w:val="009E709C"/>
    <w:rsid w:val="009E791E"/>
    <w:rsid w:val="009E7A7E"/>
    <w:rsid w:val="009F01ED"/>
    <w:rsid w:val="009F07BA"/>
    <w:rsid w:val="009F0B5D"/>
    <w:rsid w:val="009F2A2C"/>
    <w:rsid w:val="009F2DF2"/>
    <w:rsid w:val="009F2E9E"/>
    <w:rsid w:val="009F2F87"/>
    <w:rsid w:val="009F4027"/>
    <w:rsid w:val="009F5389"/>
    <w:rsid w:val="009F57A5"/>
    <w:rsid w:val="009F5D6A"/>
    <w:rsid w:val="009F77E3"/>
    <w:rsid w:val="009F7961"/>
    <w:rsid w:val="009F7BA3"/>
    <w:rsid w:val="00A0219D"/>
    <w:rsid w:val="00A02625"/>
    <w:rsid w:val="00A02780"/>
    <w:rsid w:val="00A03452"/>
    <w:rsid w:val="00A0348B"/>
    <w:rsid w:val="00A036DD"/>
    <w:rsid w:val="00A03BDF"/>
    <w:rsid w:val="00A03FF2"/>
    <w:rsid w:val="00A04395"/>
    <w:rsid w:val="00A05BE3"/>
    <w:rsid w:val="00A06D38"/>
    <w:rsid w:val="00A07003"/>
    <w:rsid w:val="00A07AB5"/>
    <w:rsid w:val="00A07BE0"/>
    <w:rsid w:val="00A10908"/>
    <w:rsid w:val="00A11B9B"/>
    <w:rsid w:val="00A14D15"/>
    <w:rsid w:val="00A15D32"/>
    <w:rsid w:val="00A17949"/>
    <w:rsid w:val="00A20064"/>
    <w:rsid w:val="00A207B1"/>
    <w:rsid w:val="00A20F4B"/>
    <w:rsid w:val="00A22D32"/>
    <w:rsid w:val="00A23319"/>
    <w:rsid w:val="00A24883"/>
    <w:rsid w:val="00A25C4B"/>
    <w:rsid w:val="00A263FF"/>
    <w:rsid w:val="00A26704"/>
    <w:rsid w:val="00A277E5"/>
    <w:rsid w:val="00A30585"/>
    <w:rsid w:val="00A31741"/>
    <w:rsid w:val="00A32E93"/>
    <w:rsid w:val="00A333F3"/>
    <w:rsid w:val="00A34545"/>
    <w:rsid w:val="00A35489"/>
    <w:rsid w:val="00A35560"/>
    <w:rsid w:val="00A3600A"/>
    <w:rsid w:val="00A36044"/>
    <w:rsid w:val="00A3770F"/>
    <w:rsid w:val="00A3782C"/>
    <w:rsid w:val="00A37BFD"/>
    <w:rsid w:val="00A4093E"/>
    <w:rsid w:val="00A40FD8"/>
    <w:rsid w:val="00A40FEB"/>
    <w:rsid w:val="00A41638"/>
    <w:rsid w:val="00A41F44"/>
    <w:rsid w:val="00A43056"/>
    <w:rsid w:val="00A43C71"/>
    <w:rsid w:val="00A441A5"/>
    <w:rsid w:val="00A44EB9"/>
    <w:rsid w:val="00A44F05"/>
    <w:rsid w:val="00A45074"/>
    <w:rsid w:val="00A455A1"/>
    <w:rsid w:val="00A45738"/>
    <w:rsid w:val="00A4670C"/>
    <w:rsid w:val="00A4730E"/>
    <w:rsid w:val="00A4763D"/>
    <w:rsid w:val="00A50965"/>
    <w:rsid w:val="00A51722"/>
    <w:rsid w:val="00A53852"/>
    <w:rsid w:val="00A56247"/>
    <w:rsid w:val="00A56478"/>
    <w:rsid w:val="00A566D5"/>
    <w:rsid w:val="00A57523"/>
    <w:rsid w:val="00A575D6"/>
    <w:rsid w:val="00A629CC"/>
    <w:rsid w:val="00A64630"/>
    <w:rsid w:val="00A64727"/>
    <w:rsid w:val="00A650FE"/>
    <w:rsid w:val="00A6586F"/>
    <w:rsid w:val="00A65FFA"/>
    <w:rsid w:val="00A67381"/>
    <w:rsid w:val="00A675BD"/>
    <w:rsid w:val="00A67768"/>
    <w:rsid w:val="00A711CF"/>
    <w:rsid w:val="00A72B76"/>
    <w:rsid w:val="00A7357D"/>
    <w:rsid w:val="00A74BBD"/>
    <w:rsid w:val="00A74D86"/>
    <w:rsid w:val="00A75165"/>
    <w:rsid w:val="00A75FA6"/>
    <w:rsid w:val="00A75FC7"/>
    <w:rsid w:val="00A763D5"/>
    <w:rsid w:val="00A76731"/>
    <w:rsid w:val="00A76F46"/>
    <w:rsid w:val="00A772A3"/>
    <w:rsid w:val="00A810FF"/>
    <w:rsid w:val="00A823E1"/>
    <w:rsid w:val="00A84E19"/>
    <w:rsid w:val="00A85808"/>
    <w:rsid w:val="00A87049"/>
    <w:rsid w:val="00A87E41"/>
    <w:rsid w:val="00A904EF"/>
    <w:rsid w:val="00A909F6"/>
    <w:rsid w:val="00A91FF8"/>
    <w:rsid w:val="00A9206C"/>
    <w:rsid w:val="00A920C7"/>
    <w:rsid w:val="00A931D1"/>
    <w:rsid w:val="00A932C1"/>
    <w:rsid w:val="00A9336F"/>
    <w:rsid w:val="00A93EEA"/>
    <w:rsid w:val="00A944FA"/>
    <w:rsid w:val="00A94D94"/>
    <w:rsid w:val="00A94DC8"/>
    <w:rsid w:val="00A95EC9"/>
    <w:rsid w:val="00A970C9"/>
    <w:rsid w:val="00A971A5"/>
    <w:rsid w:val="00AA1095"/>
    <w:rsid w:val="00AA16DD"/>
    <w:rsid w:val="00AA33F3"/>
    <w:rsid w:val="00AA3D3C"/>
    <w:rsid w:val="00AA46EF"/>
    <w:rsid w:val="00AA4751"/>
    <w:rsid w:val="00AA51FE"/>
    <w:rsid w:val="00AA56E1"/>
    <w:rsid w:val="00AA6271"/>
    <w:rsid w:val="00AA6EE5"/>
    <w:rsid w:val="00AA6F05"/>
    <w:rsid w:val="00AA7A66"/>
    <w:rsid w:val="00AB06CE"/>
    <w:rsid w:val="00AB07E4"/>
    <w:rsid w:val="00AB0CA3"/>
    <w:rsid w:val="00AB25B3"/>
    <w:rsid w:val="00AB28D0"/>
    <w:rsid w:val="00AB315C"/>
    <w:rsid w:val="00AB4560"/>
    <w:rsid w:val="00AB60FB"/>
    <w:rsid w:val="00AB692D"/>
    <w:rsid w:val="00AB750A"/>
    <w:rsid w:val="00AB7877"/>
    <w:rsid w:val="00AB7B9E"/>
    <w:rsid w:val="00AB7C97"/>
    <w:rsid w:val="00AC030C"/>
    <w:rsid w:val="00AC1930"/>
    <w:rsid w:val="00AC1D04"/>
    <w:rsid w:val="00AC2878"/>
    <w:rsid w:val="00AC5CAC"/>
    <w:rsid w:val="00AC61DD"/>
    <w:rsid w:val="00AC61F3"/>
    <w:rsid w:val="00AC6664"/>
    <w:rsid w:val="00AC7546"/>
    <w:rsid w:val="00AD178D"/>
    <w:rsid w:val="00AD1A30"/>
    <w:rsid w:val="00AD26DC"/>
    <w:rsid w:val="00AD3A8D"/>
    <w:rsid w:val="00AD3AC1"/>
    <w:rsid w:val="00AD4817"/>
    <w:rsid w:val="00AD50B8"/>
    <w:rsid w:val="00AD50E3"/>
    <w:rsid w:val="00AD6FD4"/>
    <w:rsid w:val="00AD7D91"/>
    <w:rsid w:val="00AE08BE"/>
    <w:rsid w:val="00AE0D5D"/>
    <w:rsid w:val="00AE1A4F"/>
    <w:rsid w:val="00AE1B1C"/>
    <w:rsid w:val="00AE24F8"/>
    <w:rsid w:val="00AE29A4"/>
    <w:rsid w:val="00AE2E09"/>
    <w:rsid w:val="00AE43C4"/>
    <w:rsid w:val="00AE4E30"/>
    <w:rsid w:val="00AE4F2B"/>
    <w:rsid w:val="00AE67DF"/>
    <w:rsid w:val="00AF145E"/>
    <w:rsid w:val="00AF14B2"/>
    <w:rsid w:val="00AF1CE5"/>
    <w:rsid w:val="00AF2451"/>
    <w:rsid w:val="00AF3499"/>
    <w:rsid w:val="00AF3A69"/>
    <w:rsid w:val="00AF5C45"/>
    <w:rsid w:val="00AF7EAC"/>
    <w:rsid w:val="00AF7F48"/>
    <w:rsid w:val="00B01D51"/>
    <w:rsid w:val="00B01E69"/>
    <w:rsid w:val="00B021C6"/>
    <w:rsid w:val="00B02B02"/>
    <w:rsid w:val="00B04168"/>
    <w:rsid w:val="00B04559"/>
    <w:rsid w:val="00B050E0"/>
    <w:rsid w:val="00B058E4"/>
    <w:rsid w:val="00B060CD"/>
    <w:rsid w:val="00B0764A"/>
    <w:rsid w:val="00B07E0D"/>
    <w:rsid w:val="00B10082"/>
    <w:rsid w:val="00B102F7"/>
    <w:rsid w:val="00B113A4"/>
    <w:rsid w:val="00B11B33"/>
    <w:rsid w:val="00B120B0"/>
    <w:rsid w:val="00B12E49"/>
    <w:rsid w:val="00B1306A"/>
    <w:rsid w:val="00B13401"/>
    <w:rsid w:val="00B13BBE"/>
    <w:rsid w:val="00B140C7"/>
    <w:rsid w:val="00B14CAB"/>
    <w:rsid w:val="00B153D5"/>
    <w:rsid w:val="00B15613"/>
    <w:rsid w:val="00B1616E"/>
    <w:rsid w:val="00B165FC"/>
    <w:rsid w:val="00B17478"/>
    <w:rsid w:val="00B17A3B"/>
    <w:rsid w:val="00B20A14"/>
    <w:rsid w:val="00B2321C"/>
    <w:rsid w:val="00B23F9B"/>
    <w:rsid w:val="00B23FC5"/>
    <w:rsid w:val="00B248F5"/>
    <w:rsid w:val="00B24A94"/>
    <w:rsid w:val="00B265EC"/>
    <w:rsid w:val="00B26BFF"/>
    <w:rsid w:val="00B26D1F"/>
    <w:rsid w:val="00B26F35"/>
    <w:rsid w:val="00B27420"/>
    <w:rsid w:val="00B311AA"/>
    <w:rsid w:val="00B3189B"/>
    <w:rsid w:val="00B32658"/>
    <w:rsid w:val="00B32E7C"/>
    <w:rsid w:val="00B33964"/>
    <w:rsid w:val="00B33A42"/>
    <w:rsid w:val="00B408B4"/>
    <w:rsid w:val="00B41F71"/>
    <w:rsid w:val="00B42E41"/>
    <w:rsid w:val="00B4365B"/>
    <w:rsid w:val="00B448C8"/>
    <w:rsid w:val="00B44E24"/>
    <w:rsid w:val="00B44EF8"/>
    <w:rsid w:val="00B46052"/>
    <w:rsid w:val="00B461E6"/>
    <w:rsid w:val="00B473DA"/>
    <w:rsid w:val="00B474B3"/>
    <w:rsid w:val="00B47A80"/>
    <w:rsid w:val="00B47BF1"/>
    <w:rsid w:val="00B503E0"/>
    <w:rsid w:val="00B508C9"/>
    <w:rsid w:val="00B50B06"/>
    <w:rsid w:val="00B50CDE"/>
    <w:rsid w:val="00B512E8"/>
    <w:rsid w:val="00B5191E"/>
    <w:rsid w:val="00B523FA"/>
    <w:rsid w:val="00B5465A"/>
    <w:rsid w:val="00B54CF1"/>
    <w:rsid w:val="00B5500B"/>
    <w:rsid w:val="00B55446"/>
    <w:rsid w:val="00B554CE"/>
    <w:rsid w:val="00B55B2E"/>
    <w:rsid w:val="00B565C2"/>
    <w:rsid w:val="00B56702"/>
    <w:rsid w:val="00B577DD"/>
    <w:rsid w:val="00B60587"/>
    <w:rsid w:val="00B6073C"/>
    <w:rsid w:val="00B61D5B"/>
    <w:rsid w:val="00B63EFC"/>
    <w:rsid w:val="00B63FFF"/>
    <w:rsid w:val="00B640D4"/>
    <w:rsid w:val="00B646C8"/>
    <w:rsid w:val="00B646E6"/>
    <w:rsid w:val="00B649AE"/>
    <w:rsid w:val="00B64BBD"/>
    <w:rsid w:val="00B64EFD"/>
    <w:rsid w:val="00B65BFD"/>
    <w:rsid w:val="00B70396"/>
    <w:rsid w:val="00B70882"/>
    <w:rsid w:val="00B73229"/>
    <w:rsid w:val="00B74A3D"/>
    <w:rsid w:val="00B753C9"/>
    <w:rsid w:val="00B7623C"/>
    <w:rsid w:val="00B76349"/>
    <w:rsid w:val="00B7693E"/>
    <w:rsid w:val="00B772EC"/>
    <w:rsid w:val="00B80329"/>
    <w:rsid w:val="00B808CB"/>
    <w:rsid w:val="00B8218D"/>
    <w:rsid w:val="00B82C81"/>
    <w:rsid w:val="00B84595"/>
    <w:rsid w:val="00B85189"/>
    <w:rsid w:val="00B854DE"/>
    <w:rsid w:val="00B85827"/>
    <w:rsid w:val="00B8593F"/>
    <w:rsid w:val="00B863A2"/>
    <w:rsid w:val="00B86807"/>
    <w:rsid w:val="00B872F0"/>
    <w:rsid w:val="00B87933"/>
    <w:rsid w:val="00B87966"/>
    <w:rsid w:val="00B87A4D"/>
    <w:rsid w:val="00B90149"/>
    <w:rsid w:val="00B906FD"/>
    <w:rsid w:val="00B90813"/>
    <w:rsid w:val="00B9145B"/>
    <w:rsid w:val="00B91929"/>
    <w:rsid w:val="00B91F0D"/>
    <w:rsid w:val="00B924BE"/>
    <w:rsid w:val="00B930C1"/>
    <w:rsid w:val="00B937DF"/>
    <w:rsid w:val="00B93B81"/>
    <w:rsid w:val="00B96122"/>
    <w:rsid w:val="00B97057"/>
    <w:rsid w:val="00BA08A6"/>
    <w:rsid w:val="00BA12FE"/>
    <w:rsid w:val="00BA2083"/>
    <w:rsid w:val="00BA2177"/>
    <w:rsid w:val="00BA370A"/>
    <w:rsid w:val="00BA3D32"/>
    <w:rsid w:val="00BA44FE"/>
    <w:rsid w:val="00BA52BD"/>
    <w:rsid w:val="00BA5964"/>
    <w:rsid w:val="00BA6AD0"/>
    <w:rsid w:val="00BA7129"/>
    <w:rsid w:val="00BA7D21"/>
    <w:rsid w:val="00BB12B8"/>
    <w:rsid w:val="00BB149A"/>
    <w:rsid w:val="00BB1854"/>
    <w:rsid w:val="00BB1967"/>
    <w:rsid w:val="00BB2A08"/>
    <w:rsid w:val="00BB2F83"/>
    <w:rsid w:val="00BB556F"/>
    <w:rsid w:val="00BB558C"/>
    <w:rsid w:val="00BB5CD6"/>
    <w:rsid w:val="00BB67F2"/>
    <w:rsid w:val="00BB6D48"/>
    <w:rsid w:val="00BB6E35"/>
    <w:rsid w:val="00BB7AF6"/>
    <w:rsid w:val="00BC07A4"/>
    <w:rsid w:val="00BC0C10"/>
    <w:rsid w:val="00BC3306"/>
    <w:rsid w:val="00BC4485"/>
    <w:rsid w:val="00BC6EC0"/>
    <w:rsid w:val="00BC7776"/>
    <w:rsid w:val="00BC7B0D"/>
    <w:rsid w:val="00BD0531"/>
    <w:rsid w:val="00BD0DE0"/>
    <w:rsid w:val="00BD21DB"/>
    <w:rsid w:val="00BD21DE"/>
    <w:rsid w:val="00BD2776"/>
    <w:rsid w:val="00BD2F6E"/>
    <w:rsid w:val="00BD3420"/>
    <w:rsid w:val="00BD5D84"/>
    <w:rsid w:val="00BD71BC"/>
    <w:rsid w:val="00BD766C"/>
    <w:rsid w:val="00BE1793"/>
    <w:rsid w:val="00BE1B50"/>
    <w:rsid w:val="00BE25EA"/>
    <w:rsid w:val="00BE2C90"/>
    <w:rsid w:val="00BE3016"/>
    <w:rsid w:val="00BE3CB0"/>
    <w:rsid w:val="00BE3D50"/>
    <w:rsid w:val="00BE4025"/>
    <w:rsid w:val="00BE44D4"/>
    <w:rsid w:val="00BE4D15"/>
    <w:rsid w:val="00BE7665"/>
    <w:rsid w:val="00BE793A"/>
    <w:rsid w:val="00BE7A1B"/>
    <w:rsid w:val="00BE7E9B"/>
    <w:rsid w:val="00BF0314"/>
    <w:rsid w:val="00BF1248"/>
    <w:rsid w:val="00BF1858"/>
    <w:rsid w:val="00BF376D"/>
    <w:rsid w:val="00BF3E36"/>
    <w:rsid w:val="00BF4503"/>
    <w:rsid w:val="00BF6AA3"/>
    <w:rsid w:val="00C00654"/>
    <w:rsid w:val="00C014E4"/>
    <w:rsid w:val="00C01971"/>
    <w:rsid w:val="00C01D59"/>
    <w:rsid w:val="00C038B0"/>
    <w:rsid w:val="00C04382"/>
    <w:rsid w:val="00C04C5A"/>
    <w:rsid w:val="00C04FC0"/>
    <w:rsid w:val="00C07C53"/>
    <w:rsid w:val="00C102C7"/>
    <w:rsid w:val="00C10C1E"/>
    <w:rsid w:val="00C113BA"/>
    <w:rsid w:val="00C120EA"/>
    <w:rsid w:val="00C1256B"/>
    <w:rsid w:val="00C14041"/>
    <w:rsid w:val="00C158A7"/>
    <w:rsid w:val="00C17888"/>
    <w:rsid w:val="00C17EDD"/>
    <w:rsid w:val="00C17FB3"/>
    <w:rsid w:val="00C201A4"/>
    <w:rsid w:val="00C20D97"/>
    <w:rsid w:val="00C2121C"/>
    <w:rsid w:val="00C2127F"/>
    <w:rsid w:val="00C21DCC"/>
    <w:rsid w:val="00C2208D"/>
    <w:rsid w:val="00C228C7"/>
    <w:rsid w:val="00C22F40"/>
    <w:rsid w:val="00C23A38"/>
    <w:rsid w:val="00C23ED5"/>
    <w:rsid w:val="00C24847"/>
    <w:rsid w:val="00C24929"/>
    <w:rsid w:val="00C25D61"/>
    <w:rsid w:val="00C265C2"/>
    <w:rsid w:val="00C270DE"/>
    <w:rsid w:val="00C2731B"/>
    <w:rsid w:val="00C27469"/>
    <w:rsid w:val="00C310DC"/>
    <w:rsid w:val="00C312ED"/>
    <w:rsid w:val="00C3249D"/>
    <w:rsid w:val="00C333D6"/>
    <w:rsid w:val="00C34ED3"/>
    <w:rsid w:val="00C35200"/>
    <w:rsid w:val="00C36DC2"/>
    <w:rsid w:val="00C4019A"/>
    <w:rsid w:val="00C408E3"/>
    <w:rsid w:val="00C412C7"/>
    <w:rsid w:val="00C41C62"/>
    <w:rsid w:val="00C435D6"/>
    <w:rsid w:val="00C442A0"/>
    <w:rsid w:val="00C47757"/>
    <w:rsid w:val="00C47EFF"/>
    <w:rsid w:val="00C513EC"/>
    <w:rsid w:val="00C51F18"/>
    <w:rsid w:val="00C521A8"/>
    <w:rsid w:val="00C52480"/>
    <w:rsid w:val="00C52B4C"/>
    <w:rsid w:val="00C54567"/>
    <w:rsid w:val="00C56B20"/>
    <w:rsid w:val="00C601DF"/>
    <w:rsid w:val="00C6065B"/>
    <w:rsid w:val="00C6103F"/>
    <w:rsid w:val="00C62FF1"/>
    <w:rsid w:val="00C6400F"/>
    <w:rsid w:val="00C64A40"/>
    <w:rsid w:val="00C65357"/>
    <w:rsid w:val="00C66A9C"/>
    <w:rsid w:val="00C675CF"/>
    <w:rsid w:val="00C679D7"/>
    <w:rsid w:val="00C70698"/>
    <w:rsid w:val="00C70978"/>
    <w:rsid w:val="00C714B1"/>
    <w:rsid w:val="00C72D05"/>
    <w:rsid w:val="00C74120"/>
    <w:rsid w:val="00C741F8"/>
    <w:rsid w:val="00C7420F"/>
    <w:rsid w:val="00C74612"/>
    <w:rsid w:val="00C7521A"/>
    <w:rsid w:val="00C75799"/>
    <w:rsid w:val="00C761C3"/>
    <w:rsid w:val="00C76F3C"/>
    <w:rsid w:val="00C77E43"/>
    <w:rsid w:val="00C8006B"/>
    <w:rsid w:val="00C80A18"/>
    <w:rsid w:val="00C80A57"/>
    <w:rsid w:val="00C80E82"/>
    <w:rsid w:val="00C81032"/>
    <w:rsid w:val="00C81DA5"/>
    <w:rsid w:val="00C81E0B"/>
    <w:rsid w:val="00C83424"/>
    <w:rsid w:val="00C84319"/>
    <w:rsid w:val="00C84747"/>
    <w:rsid w:val="00C84C49"/>
    <w:rsid w:val="00C84E92"/>
    <w:rsid w:val="00C85154"/>
    <w:rsid w:val="00C876EB"/>
    <w:rsid w:val="00C87893"/>
    <w:rsid w:val="00C87BAF"/>
    <w:rsid w:val="00C903E9"/>
    <w:rsid w:val="00C904C6"/>
    <w:rsid w:val="00C90FD0"/>
    <w:rsid w:val="00C91136"/>
    <w:rsid w:val="00C91204"/>
    <w:rsid w:val="00C91630"/>
    <w:rsid w:val="00C91B93"/>
    <w:rsid w:val="00C92B3A"/>
    <w:rsid w:val="00C930BE"/>
    <w:rsid w:val="00C93446"/>
    <w:rsid w:val="00C939E8"/>
    <w:rsid w:val="00C94032"/>
    <w:rsid w:val="00C9424D"/>
    <w:rsid w:val="00C94373"/>
    <w:rsid w:val="00C94376"/>
    <w:rsid w:val="00C95097"/>
    <w:rsid w:val="00C9608C"/>
    <w:rsid w:val="00C96189"/>
    <w:rsid w:val="00C96942"/>
    <w:rsid w:val="00CA0674"/>
    <w:rsid w:val="00CA06AD"/>
    <w:rsid w:val="00CA06E2"/>
    <w:rsid w:val="00CA1919"/>
    <w:rsid w:val="00CA1E47"/>
    <w:rsid w:val="00CA2129"/>
    <w:rsid w:val="00CA25B2"/>
    <w:rsid w:val="00CA2D5A"/>
    <w:rsid w:val="00CA41E7"/>
    <w:rsid w:val="00CA6E3A"/>
    <w:rsid w:val="00CA72C9"/>
    <w:rsid w:val="00CA7701"/>
    <w:rsid w:val="00CA7A61"/>
    <w:rsid w:val="00CB07BF"/>
    <w:rsid w:val="00CB0CFD"/>
    <w:rsid w:val="00CB111B"/>
    <w:rsid w:val="00CB13D0"/>
    <w:rsid w:val="00CB1C34"/>
    <w:rsid w:val="00CB202E"/>
    <w:rsid w:val="00CB22B2"/>
    <w:rsid w:val="00CB2A8E"/>
    <w:rsid w:val="00CB4F23"/>
    <w:rsid w:val="00CB5427"/>
    <w:rsid w:val="00CB5821"/>
    <w:rsid w:val="00CB64F3"/>
    <w:rsid w:val="00CB74BC"/>
    <w:rsid w:val="00CB7EC1"/>
    <w:rsid w:val="00CC25D7"/>
    <w:rsid w:val="00CC370B"/>
    <w:rsid w:val="00CC569C"/>
    <w:rsid w:val="00CC6020"/>
    <w:rsid w:val="00CC6EF8"/>
    <w:rsid w:val="00CC77F9"/>
    <w:rsid w:val="00CC7F01"/>
    <w:rsid w:val="00CD11EF"/>
    <w:rsid w:val="00CD227A"/>
    <w:rsid w:val="00CD24B8"/>
    <w:rsid w:val="00CD30B0"/>
    <w:rsid w:val="00CD38EB"/>
    <w:rsid w:val="00CD472E"/>
    <w:rsid w:val="00CD49EA"/>
    <w:rsid w:val="00CD4A02"/>
    <w:rsid w:val="00CD52D3"/>
    <w:rsid w:val="00CD534E"/>
    <w:rsid w:val="00CD5BB2"/>
    <w:rsid w:val="00CD6329"/>
    <w:rsid w:val="00CD6A10"/>
    <w:rsid w:val="00CD6F75"/>
    <w:rsid w:val="00CD7645"/>
    <w:rsid w:val="00CE09A5"/>
    <w:rsid w:val="00CE179C"/>
    <w:rsid w:val="00CE40C9"/>
    <w:rsid w:val="00CE4DCC"/>
    <w:rsid w:val="00CE5E9A"/>
    <w:rsid w:val="00CE6305"/>
    <w:rsid w:val="00CE6B8A"/>
    <w:rsid w:val="00CE6D0F"/>
    <w:rsid w:val="00CF0ED0"/>
    <w:rsid w:val="00CF32E2"/>
    <w:rsid w:val="00CF34D0"/>
    <w:rsid w:val="00CF34F7"/>
    <w:rsid w:val="00CF3A64"/>
    <w:rsid w:val="00CF51C3"/>
    <w:rsid w:val="00CF5519"/>
    <w:rsid w:val="00CF60C2"/>
    <w:rsid w:val="00CF6371"/>
    <w:rsid w:val="00CF64D6"/>
    <w:rsid w:val="00CF695C"/>
    <w:rsid w:val="00CF6B16"/>
    <w:rsid w:val="00D00ABB"/>
    <w:rsid w:val="00D018A9"/>
    <w:rsid w:val="00D03A3F"/>
    <w:rsid w:val="00D046F7"/>
    <w:rsid w:val="00D0482C"/>
    <w:rsid w:val="00D04A54"/>
    <w:rsid w:val="00D04B69"/>
    <w:rsid w:val="00D064EF"/>
    <w:rsid w:val="00D074B3"/>
    <w:rsid w:val="00D075CF"/>
    <w:rsid w:val="00D0779B"/>
    <w:rsid w:val="00D07F66"/>
    <w:rsid w:val="00D106DF"/>
    <w:rsid w:val="00D10A91"/>
    <w:rsid w:val="00D10CAE"/>
    <w:rsid w:val="00D13243"/>
    <w:rsid w:val="00D13959"/>
    <w:rsid w:val="00D13A95"/>
    <w:rsid w:val="00D14304"/>
    <w:rsid w:val="00D14FA4"/>
    <w:rsid w:val="00D14FB3"/>
    <w:rsid w:val="00D15578"/>
    <w:rsid w:val="00D15B4C"/>
    <w:rsid w:val="00D16AEB"/>
    <w:rsid w:val="00D17D3D"/>
    <w:rsid w:val="00D17FC8"/>
    <w:rsid w:val="00D20B98"/>
    <w:rsid w:val="00D20DFA"/>
    <w:rsid w:val="00D20F82"/>
    <w:rsid w:val="00D21DF1"/>
    <w:rsid w:val="00D22875"/>
    <w:rsid w:val="00D22C27"/>
    <w:rsid w:val="00D22E17"/>
    <w:rsid w:val="00D23149"/>
    <w:rsid w:val="00D23D9F"/>
    <w:rsid w:val="00D24D1B"/>
    <w:rsid w:val="00D25BC9"/>
    <w:rsid w:val="00D25F42"/>
    <w:rsid w:val="00D26221"/>
    <w:rsid w:val="00D26597"/>
    <w:rsid w:val="00D2778B"/>
    <w:rsid w:val="00D30579"/>
    <w:rsid w:val="00D30BA7"/>
    <w:rsid w:val="00D319B7"/>
    <w:rsid w:val="00D31D49"/>
    <w:rsid w:val="00D32362"/>
    <w:rsid w:val="00D3260F"/>
    <w:rsid w:val="00D32CAB"/>
    <w:rsid w:val="00D335B3"/>
    <w:rsid w:val="00D34686"/>
    <w:rsid w:val="00D34BC3"/>
    <w:rsid w:val="00D355B0"/>
    <w:rsid w:val="00D35807"/>
    <w:rsid w:val="00D35CDF"/>
    <w:rsid w:val="00D36570"/>
    <w:rsid w:val="00D367DC"/>
    <w:rsid w:val="00D368E0"/>
    <w:rsid w:val="00D41C1E"/>
    <w:rsid w:val="00D4218D"/>
    <w:rsid w:val="00D42379"/>
    <w:rsid w:val="00D42D6D"/>
    <w:rsid w:val="00D43B8D"/>
    <w:rsid w:val="00D43D4C"/>
    <w:rsid w:val="00D4420C"/>
    <w:rsid w:val="00D44718"/>
    <w:rsid w:val="00D45698"/>
    <w:rsid w:val="00D45A70"/>
    <w:rsid w:val="00D46102"/>
    <w:rsid w:val="00D46289"/>
    <w:rsid w:val="00D46570"/>
    <w:rsid w:val="00D46AD0"/>
    <w:rsid w:val="00D47492"/>
    <w:rsid w:val="00D4780C"/>
    <w:rsid w:val="00D47931"/>
    <w:rsid w:val="00D520EB"/>
    <w:rsid w:val="00D528B5"/>
    <w:rsid w:val="00D53B6E"/>
    <w:rsid w:val="00D54703"/>
    <w:rsid w:val="00D54A55"/>
    <w:rsid w:val="00D55710"/>
    <w:rsid w:val="00D56773"/>
    <w:rsid w:val="00D567CB"/>
    <w:rsid w:val="00D615EA"/>
    <w:rsid w:val="00D632CE"/>
    <w:rsid w:val="00D64218"/>
    <w:rsid w:val="00D644AB"/>
    <w:rsid w:val="00D64C86"/>
    <w:rsid w:val="00D653BE"/>
    <w:rsid w:val="00D65ECD"/>
    <w:rsid w:val="00D66382"/>
    <w:rsid w:val="00D668D5"/>
    <w:rsid w:val="00D6797F"/>
    <w:rsid w:val="00D67E67"/>
    <w:rsid w:val="00D702FB"/>
    <w:rsid w:val="00D7041E"/>
    <w:rsid w:val="00D70EE9"/>
    <w:rsid w:val="00D73B2E"/>
    <w:rsid w:val="00D73D02"/>
    <w:rsid w:val="00D7446F"/>
    <w:rsid w:val="00D74668"/>
    <w:rsid w:val="00D74DF6"/>
    <w:rsid w:val="00D7779C"/>
    <w:rsid w:val="00D77B79"/>
    <w:rsid w:val="00D801A7"/>
    <w:rsid w:val="00D80454"/>
    <w:rsid w:val="00D80A15"/>
    <w:rsid w:val="00D814FF"/>
    <w:rsid w:val="00D815D3"/>
    <w:rsid w:val="00D81CC5"/>
    <w:rsid w:val="00D8343F"/>
    <w:rsid w:val="00D83CB2"/>
    <w:rsid w:val="00D84D81"/>
    <w:rsid w:val="00D85EEA"/>
    <w:rsid w:val="00D8623F"/>
    <w:rsid w:val="00D90BC9"/>
    <w:rsid w:val="00D91E12"/>
    <w:rsid w:val="00D92BDB"/>
    <w:rsid w:val="00D92DE6"/>
    <w:rsid w:val="00D94E09"/>
    <w:rsid w:val="00D955B3"/>
    <w:rsid w:val="00D96A06"/>
    <w:rsid w:val="00D9788D"/>
    <w:rsid w:val="00D97906"/>
    <w:rsid w:val="00D97A4E"/>
    <w:rsid w:val="00D97EBD"/>
    <w:rsid w:val="00DA03F9"/>
    <w:rsid w:val="00DA05D3"/>
    <w:rsid w:val="00DA1A0B"/>
    <w:rsid w:val="00DA1C20"/>
    <w:rsid w:val="00DA227D"/>
    <w:rsid w:val="00DA2D74"/>
    <w:rsid w:val="00DA2DEC"/>
    <w:rsid w:val="00DA2E83"/>
    <w:rsid w:val="00DA3D24"/>
    <w:rsid w:val="00DA4315"/>
    <w:rsid w:val="00DA4784"/>
    <w:rsid w:val="00DA57A8"/>
    <w:rsid w:val="00DA6265"/>
    <w:rsid w:val="00DA682D"/>
    <w:rsid w:val="00DA6C8E"/>
    <w:rsid w:val="00DA6EDB"/>
    <w:rsid w:val="00DA76A8"/>
    <w:rsid w:val="00DA795D"/>
    <w:rsid w:val="00DA797A"/>
    <w:rsid w:val="00DB007C"/>
    <w:rsid w:val="00DB1F86"/>
    <w:rsid w:val="00DB27C2"/>
    <w:rsid w:val="00DB2DF6"/>
    <w:rsid w:val="00DB2E1C"/>
    <w:rsid w:val="00DB2EB9"/>
    <w:rsid w:val="00DB3DC3"/>
    <w:rsid w:val="00DB536D"/>
    <w:rsid w:val="00DB6EDE"/>
    <w:rsid w:val="00DB7816"/>
    <w:rsid w:val="00DC09A3"/>
    <w:rsid w:val="00DC0A08"/>
    <w:rsid w:val="00DC1790"/>
    <w:rsid w:val="00DC1834"/>
    <w:rsid w:val="00DC2A40"/>
    <w:rsid w:val="00DC2AE6"/>
    <w:rsid w:val="00DC338C"/>
    <w:rsid w:val="00DC3A27"/>
    <w:rsid w:val="00DC3B2B"/>
    <w:rsid w:val="00DC5CEE"/>
    <w:rsid w:val="00DD00A7"/>
    <w:rsid w:val="00DD2298"/>
    <w:rsid w:val="00DD2A54"/>
    <w:rsid w:val="00DD2EA1"/>
    <w:rsid w:val="00DD3C15"/>
    <w:rsid w:val="00DD4DAA"/>
    <w:rsid w:val="00DD5CC7"/>
    <w:rsid w:val="00DD6747"/>
    <w:rsid w:val="00DD6B54"/>
    <w:rsid w:val="00DD6CA2"/>
    <w:rsid w:val="00DD6F27"/>
    <w:rsid w:val="00DE0AC3"/>
    <w:rsid w:val="00DE1097"/>
    <w:rsid w:val="00DE44DB"/>
    <w:rsid w:val="00DE48A9"/>
    <w:rsid w:val="00DE5888"/>
    <w:rsid w:val="00DE62F4"/>
    <w:rsid w:val="00DE69C7"/>
    <w:rsid w:val="00DE6A06"/>
    <w:rsid w:val="00DE766F"/>
    <w:rsid w:val="00DF16E6"/>
    <w:rsid w:val="00DF26F7"/>
    <w:rsid w:val="00DF3DC9"/>
    <w:rsid w:val="00DF4A3B"/>
    <w:rsid w:val="00DF4D4A"/>
    <w:rsid w:val="00DF5816"/>
    <w:rsid w:val="00DF6CCB"/>
    <w:rsid w:val="00E0117E"/>
    <w:rsid w:val="00E01FD3"/>
    <w:rsid w:val="00E027B0"/>
    <w:rsid w:val="00E03577"/>
    <w:rsid w:val="00E0677E"/>
    <w:rsid w:val="00E0762E"/>
    <w:rsid w:val="00E1082A"/>
    <w:rsid w:val="00E10F1B"/>
    <w:rsid w:val="00E11FFE"/>
    <w:rsid w:val="00E125FE"/>
    <w:rsid w:val="00E12A89"/>
    <w:rsid w:val="00E12ADC"/>
    <w:rsid w:val="00E14912"/>
    <w:rsid w:val="00E14FE9"/>
    <w:rsid w:val="00E1664F"/>
    <w:rsid w:val="00E20853"/>
    <w:rsid w:val="00E209B8"/>
    <w:rsid w:val="00E20CE8"/>
    <w:rsid w:val="00E210CD"/>
    <w:rsid w:val="00E2188D"/>
    <w:rsid w:val="00E21914"/>
    <w:rsid w:val="00E22CB6"/>
    <w:rsid w:val="00E230FD"/>
    <w:rsid w:val="00E23271"/>
    <w:rsid w:val="00E2371E"/>
    <w:rsid w:val="00E23CA7"/>
    <w:rsid w:val="00E23D1E"/>
    <w:rsid w:val="00E253A6"/>
    <w:rsid w:val="00E25DD3"/>
    <w:rsid w:val="00E25E86"/>
    <w:rsid w:val="00E2639A"/>
    <w:rsid w:val="00E26637"/>
    <w:rsid w:val="00E270FB"/>
    <w:rsid w:val="00E27F97"/>
    <w:rsid w:val="00E31858"/>
    <w:rsid w:val="00E318F3"/>
    <w:rsid w:val="00E31CA1"/>
    <w:rsid w:val="00E31D0E"/>
    <w:rsid w:val="00E31D9C"/>
    <w:rsid w:val="00E32013"/>
    <w:rsid w:val="00E325B6"/>
    <w:rsid w:val="00E32C39"/>
    <w:rsid w:val="00E330B5"/>
    <w:rsid w:val="00E3423E"/>
    <w:rsid w:val="00E41535"/>
    <w:rsid w:val="00E4180A"/>
    <w:rsid w:val="00E41FE0"/>
    <w:rsid w:val="00E421F2"/>
    <w:rsid w:val="00E42484"/>
    <w:rsid w:val="00E4297E"/>
    <w:rsid w:val="00E43945"/>
    <w:rsid w:val="00E440F5"/>
    <w:rsid w:val="00E44A72"/>
    <w:rsid w:val="00E45E42"/>
    <w:rsid w:val="00E467FD"/>
    <w:rsid w:val="00E47A22"/>
    <w:rsid w:val="00E50FC6"/>
    <w:rsid w:val="00E518A2"/>
    <w:rsid w:val="00E5191A"/>
    <w:rsid w:val="00E51C52"/>
    <w:rsid w:val="00E52B77"/>
    <w:rsid w:val="00E5313B"/>
    <w:rsid w:val="00E53798"/>
    <w:rsid w:val="00E53D8F"/>
    <w:rsid w:val="00E55984"/>
    <w:rsid w:val="00E55FB5"/>
    <w:rsid w:val="00E57907"/>
    <w:rsid w:val="00E620BC"/>
    <w:rsid w:val="00E62CC3"/>
    <w:rsid w:val="00E645DC"/>
    <w:rsid w:val="00E64A34"/>
    <w:rsid w:val="00E64B4B"/>
    <w:rsid w:val="00E64E38"/>
    <w:rsid w:val="00E65F3E"/>
    <w:rsid w:val="00E66801"/>
    <w:rsid w:val="00E671A8"/>
    <w:rsid w:val="00E673F9"/>
    <w:rsid w:val="00E67B17"/>
    <w:rsid w:val="00E702D9"/>
    <w:rsid w:val="00E70EBD"/>
    <w:rsid w:val="00E70FE9"/>
    <w:rsid w:val="00E71700"/>
    <w:rsid w:val="00E729D6"/>
    <w:rsid w:val="00E72F17"/>
    <w:rsid w:val="00E737C2"/>
    <w:rsid w:val="00E74550"/>
    <w:rsid w:val="00E75377"/>
    <w:rsid w:val="00E77412"/>
    <w:rsid w:val="00E80436"/>
    <w:rsid w:val="00E8058D"/>
    <w:rsid w:val="00E80FE7"/>
    <w:rsid w:val="00E81ABB"/>
    <w:rsid w:val="00E82F05"/>
    <w:rsid w:val="00E83053"/>
    <w:rsid w:val="00E83317"/>
    <w:rsid w:val="00E83DF5"/>
    <w:rsid w:val="00E83ED8"/>
    <w:rsid w:val="00E84756"/>
    <w:rsid w:val="00E84A63"/>
    <w:rsid w:val="00E850DA"/>
    <w:rsid w:val="00E86841"/>
    <w:rsid w:val="00E878FB"/>
    <w:rsid w:val="00E90C00"/>
    <w:rsid w:val="00E90D8B"/>
    <w:rsid w:val="00E927B0"/>
    <w:rsid w:val="00E9404C"/>
    <w:rsid w:val="00E95013"/>
    <w:rsid w:val="00E952B9"/>
    <w:rsid w:val="00E95AF0"/>
    <w:rsid w:val="00E95FDA"/>
    <w:rsid w:val="00E96331"/>
    <w:rsid w:val="00E97E99"/>
    <w:rsid w:val="00EA0D08"/>
    <w:rsid w:val="00EA2B08"/>
    <w:rsid w:val="00EA2BF0"/>
    <w:rsid w:val="00EA2DEA"/>
    <w:rsid w:val="00EA3DEF"/>
    <w:rsid w:val="00EA3F98"/>
    <w:rsid w:val="00EA400A"/>
    <w:rsid w:val="00EA40D1"/>
    <w:rsid w:val="00EA4A68"/>
    <w:rsid w:val="00EA4CAB"/>
    <w:rsid w:val="00EA4E49"/>
    <w:rsid w:val="00EA6D80"/>
    <w:rsid w:val="00EA7AD8"/>
    <w:rsid w:val="00EA7B7F"/>
    <w:rsid w:val="00EB0B07"/>
    <w:rsid w:val="00EB0D9E"/>
    <w:rsid w:val="00EB0DDE"/>
    <w:rsid w:val="00EB21BB"/>
    <w:rsid w:val="00EB2531"/>
    <w:rsid w:val="00EB2AF3"/>
    <w:rsid w:val="00EB330A"/>
    <w:rsid w:val="00EB41A8"/>
    <w:rsid w:val="00EB43DF"/>
    <w:rsid w:val="00EB476A"/>
    <w:rsid w:val="00EB54E9"/>
    <w:rsid w:val="00EB5727"/>
    <w:rsid w:val="00EB613C"/>
    <w:rsid w:val="00EB7029"/>
    <w:rsid w:val="00EC0E3B"/>
    <w:rsid w:val="00EC3E01"/>
    <w:rsid w:val="00EC4CED"/>
    <w:rsid w:val="00EC500C"/>
    <w:rsid w:val="00EC5B8E"/>
    <w:rsid w:val="00EC5D18"/>
    <w:rsid w:val="00EC63F8"/>
    <w:rsid w:val="00EC66AD"/>
    <w:rsid w:val="00EC6DF7"/>
    <w:rsid w:val="00EC72D2"/>
    <w:rsid w:val="00ED0AF4"/>
    <w:rsid w:val="00ED170B"/>
    <w:rsid w:val="00ED4A0B"/>
    <w:rsid w:val="00ED5E56"/>
    <w:rsid w:val="00ED6BE1"/>
    <w:rsid w:val="00ED7FE4"/>
    <w:rsid w:val="00EE0134"/>
    <w:rsid w:val="00EE0D39"/>
    <w:rsid w:val="00EE2253"/>
    <w:rsid w:val="00EE2DCF"/>
    <w:rsid w:val="00EE3439"/>
    <w:rsid w:val="00EE4538"/>
    <w:rsid w:val="00EE4DB9"/>
    <w:rsid w:val="00EE4ED6"/>
    <w:rsid w:val="00EE6D93"/>
    <w:rsid w:val="00EE7238"/>
    <w:rsid w:val="00EE72B1"/>
    <w:rsid w:val="00EF16FF"/>
    <w:rsid w:val="00EF20FC"/>
    <w:rsid w:val="00EF3B91"/>
    <w:rsid w:val="00EF5178"/>
    <w:rsid w:val="00EF7388"/>
    <w:rsid w:val="00EF77A4"/>
    <w:rsid w:val="00F0223A"/>
    <w:rsid w:val="00F02615"/>
    <w:rsid w:val="00F02CA5"/>
    <w:rsid w:val="00F05973"/>
    <w:rsid w:val="00F0629C"/>
    <w:rsid w:val="00F06736"/>
    <w:rsid w:val="00F06E50"/>
    <w:rsid w:val="00F07223"/>
    <w:rsid w:val="00F07CD2"/>
    <w:rsid w:val="00F123F7"/>
    <w:rsid w:val="00F137C9"/>
    <w:rsid w:val="00F177D6"/>
    <w:rsid w:val="00F20004"/>
    <w:rsid w:val="00F200EF"/>
    <w:rsid w:val="00F20CE6"/>
    <w:rsid w:val="00F21CCE"/>
    <w:rsid w:val="00F21D6D"/>
    <w:rsid w:val="00F22E6C"/>
    <w:rsid w:val="00F23F7A"/>
    <w:rsid w:val="00F26211"/>
    <w:rsid w:val="00F26487"/>
    <w:rsid w:val="00F26E0F"/>
    <w:rsid w:val="00F27128"/>
    <w:rsid w:val="00F275FD"/>
    <w:rsid w:val="00F27BEC"/>
    <w:rsid w:val="00F27E97"/>
    <w:rsid w:val="00F3205B"/>
    <w:rsid w:val="00F3342C"/>
    <w:rsid w:val="00F33736"/>
    <w:rsid w:val="00F3620B"/>
    <w:rsid w:val="00F36264"/>
    <w:rsid w:val="00F36330"/>
    <w:rsid w:val="00F36779"/>
    <w:rsid w:val="00F36D00"/>
    <w:rsid w:val="00F36D4B"/>
    <w:rsid w:val="00F37323"/>
    <w:rsid w:val="00F373C7"/>
    <w:rsid w:val="00F406A5"/>
    <w:rsid w:val="00F41B85"/>
    <w:rsid w:val="00F4208C"/>
    <w:rsid w:val="00F42326"/>
    <w:rsid w:val="00F4518B"/>
    <w:rsid w:val="00F46DFA"/>
    <w:rsid w:val="00F473E6"/>
    <w:rsid w:val="00F50502"/>
    <w:rsid w:val="00F52572"/>
    <w:rsid w:val="00F53287"/>
    <w:rsid w:val="00F53A29"/>
    <w:rsid w:val="00F54261"/>
    <w:rsid w:val="00F54381"/>
    <w:rsid w:val="00F54C78"/>
    <w:rsid w:val="00F5528B"/>
    <w:rsid w:val="00F5542F"/>
    <w:rsid w:val="00F55CBE"/>
    <w:rsid w:val="00F55EE4"/>
    <w:rsid w:val="00F565AF"/>
    <w:rsid w:val="00F57435"/>
    <w:rsid w:val="00F576C6"/>
    <w:rsid w:val="00F57BDF"/>
    <w:rsid w:val="00F61A41"/>
    <w:rsid w:val="00F62EAD"/>
    <w:rsid w:val="00F634A4"/>
    <w:rsid w:val="00F65A95"/>
    <w:rsid w:val="00F67280"/>
    <w:rsid w:val="00F678A1"/>
    <w:rsid w:val="00F701AD"/>
    <w:rsid w:val="00F7024C"/>
    <w:rsid w:val="00F72061"/>
    <w:rsid w:val="00F723AF"/>
    <w:rsid w:val="00F72A9F"/>
    <w:rsid w:val="00F745E4"/>
    <w:rsid w:val="00F74BF4"/>
    <w:rsid w:val="00F74CBD"/>
    <w:rsid w:val="00F74F1D"/>
    <w:rsid w:val="00F75547"/>
    <w:rsid w:val="00F75608"/>
    <w:rsid w:val="00F804C8"/>
    <w:rsid w:val="00F81318"/>
    <w:rsid w:val="00F81915"/>
    <w:rsid w:val="00F8287C"/>
    <w:rsid w:val="00F83378"/>
    <w:rsid w:val="00F845BD"/>
    <w:rsid w:val="00F85849"/>
    <w:rsid w:val="00F85F37"/>
    <w:rsid w:val="00F86ED8"/>
    <w:rsid w:val="00F87180"/>
    <w:rsid w:val="00F87852"/>
    <w:rsid w:val="00F90694"/>
    <w:rsid w:val="00F91A4A"/>
    <w:rsid w:val="00F9219E"/>
    <w:rsid w:val="00F92A01"/>
    <w:rsid w:val="00F92F09"/>
    <w:rsid w:val="00F93CE8"/>
    <w:rsid w:val="00F967AF"/>
    <w:rsid w:val="00F97067"/>
    <w:rsid w:val="00F97E4F"/>
    <w:rsid w:val="00FA1693"/>
    <w:rsid w:val="00FA1A49"/>
    <w:rsid w:val="00FA1B00"/>
    <w:rsid w:val="00FA41F7"/>
    <w:rsid w:val="00FA4828"/>
    <w:rsid w:val="00FA4878"/>
    <w:rsid w:val="00FA4AE3"/>
    <w:rsid w:val="00FA4F31"/>
    <w:rsid w:val="00FA547C"/>
    <w:rsid w:val="00FA61A0"/>
    <w:rsid w:val="00FA76FA"/>
    <w:rsid w:val="00FB1536"/>
    <w:rsid w:val="00FB4410"/>
    <w:rsid w:val="00FB47AB"/>
    <w:rsid w:val="00FB6736"/>
    <w:rsid w:val="00FB69B4"/>
    <w:rsid w:val="00FB6D79"/>
    <w:rsid w:val="00FB7F43"/>
    <w:rsid w:val="00FC107E"/>
    <w:rsid w:val="00FC14DA"/>
    <w:rsid w:val="00FC28C2"/>
    <w:rsid w:val="00FC29A5"/>
    <w:rsid w:val="00FC2C8D"/>
    <w:rsid w:val="00FC4965"/>
    <w:rsid w:val="00FC554E"/>
    <w:rsid w:val="00FC6DA0"/>
    <w:rsid w:val="00FC7751"/>
    <w:rsid w:val="00FC7A43"/>
    <w:rsid w:val="00FD01A3"/>
    <w:rsid w:val="00FD12CB"/>
    <w:rsid w:val="00FD1523"/>
    <w:rsid w:val="00FD194C"/>
    <w:rsid w:val="00FD1C83"/>
    <w:rsid w:val="00FD1C8D"/>
    <w:rsid w:val="00FD249B"/>
    <w:rsid w:val="00FD347F"/>
    <w:rsid w:val="00FD34D4"/>
    <w:rsid w:val="00FD38DE"/>
    <w:rsid w:val="00FD4305"/>
    <w:rsid w:val="00FD4728"/>
    <w:rsid w:val="00FD504A"/>
    <w:rsid w:val="00FD5B5E"/>
    <w:rsid w:val="00FD5C35"/>
    <w:rsid w:val="00FD6C93"/>
    <w:rsid w:val="00FD748E"/>
    <w:rsid w:val="00FD7824"/>
    <w:rsid w:val="00FE0E7D"/>
    <w:rsid w:val="00FE0F8F"/>
    <w:rsid w:val="00FE1EC9"/>
    <w:rsid w:val="00FE2FD8"/>
    <w:rsid w:val="00FE32F2"/>
    <w:rsid w:val="00FE3D06"/>
    <w:rsid w:val="00FE4B14"/>
    <w:rsid w:val="00FE6C3C"/>
    <w:rsid w:val="00FE7215"/>
    <w:rsid w:val="00FE75CF"/>
    <w:rsid w:val="00FE79E1"/>
    <w:rsid w:val="00FF07B1"/>
    <w:rsid w:val="00FF16CE"/>
    <w:rsid w:val="00FF43DE"/>
    <w:rsid w:val="00FF4739"/>
    <w:rsid w:val="00FF5EBC"/>
    <w:rsid w:val="00FF6C61"/>
    <w:rsid w:val="014645C4"/>
    <w:rsid w:val="01846F0A"/>
    <w:rsid w:val="02040F2A"/>
    <w:rsid w:val="049A308D"/>
    <w:rsid w:val="052D36E5"/>
    <w:rsid w:val="06BC653C"/>
    <w:rsid w:val="06D56B70"/>
    <w:rsid w:val="06DC1086"/>
    <w:rsid w:val="070A46AE"/>
    <w:rsid w:val="07585EEE"/>
    <w:rsid w:val="078126E3"/>
    <w:rsid w:val="07A11004"/>
    <w:rsid w:val="07F54790"/>
    <w:rsid w:val="099E052C"/>
    <w:rsid w:val="09A94FE9"/>
    <w:rsid w:val="0B527C53"/>
    <w:rsid w:val="0B705B32"/>
    <w:rsid w:val="0C4B22F8"/>
    <w:rsid w:val="0D213638"/>
    <w:rsid w:val="0DEF2194"/>
    <w:rsid w:val="0DF91E0E"/>
    <w:rsid w:val="0E023338"/>
    <w:rsid w:val="0E2C0A56"/>
    <w:rsid w:val="0EFA4C02"/>
    <w:rsid w:val="10E32902"/>
    <w:rsid w:val="1291235A"/>
    <w:rsid w:val="13EA7022"/>
    <w:rsid w:val="141C6857"/>
    <w:rsid w:val="15BD7ABA"/>
    <w:rsid w:val="16555C84"/>
    <w:rsid w:val="16584810"/>
    <w:rsid w:val="16AA5ACC"/>
    <w:rsid w:val="187C61D2"/>
    <w:rsid w:val="18A93985"/>
    <w:rsid w:val="19943943"/>
    <w:rsid w:val="1CBE38DB"/>
    <w:rsid w:val="1EF90C20"/>
    <w:rsid w:val="213D605E"/>
    <w:rsid w:val="213F1C19"/>
    <w:rsid w:val="22373F5C"/>
    <w:rsid w:val="225D0310"/>
    <w:rsid w:val="22A46DCB"/>
    <w:rsid w:val="231673B9"/>
    <w:rsid w:val="251D703F"/>
    <w:rsid w:val="25FE3D13"/>
    <w:rsid w:val="260036D5"/>
    <w:rsid w:val="27945280"/>
    <w:rsid w:val="27A75D52"/>
    <w:rsid w:val="27E30E62"/>
    <w:rsid w:val="28616718"/>
    <w:rsid w:val="28CD6C5A"/>
    <w:rsid w:val="2AEC0826"/>
    <w:rsid w:val="2B3C2EE3"/>
    <w:rsid w:val="2B776D50"/>
    <w:rsid w:val="2B9E4268"/>
    <w:rsid w:val="2BCF1314"/>
    <w:rsid w:val="2EB828AA"/>
    <w:rsid w:val="2F576B04"/>
    <w:rsid w:val="30F47218"/>
    <w:rsid w:val="32AD7029"/>
    <w:rsid w:val="3341553A"/>
    <w:rsid w:val="34F46EC0"/>
    <w:rsid w:val="350D392B"/>
    <w:rsid w:val="35431505"/>
    <w:rsid w:val="365935C4"/>
    <w:rsid w:val="36A17741"/>
    <w:rsid w:val="36D324EE"/>
    <w:rsid w:val="37CC7770"/>
    <w:rsid w:val="38E14759"/>
    <w:rsid w:val="38F3118B"/>
    <w:rsid w:val="39293484"/>
    <w:rsid w:val="396F2569"/>
    <w:rsid w:val="39912B88"/>
    <w:rsid w:val="3AAB420F"/>
    <w:rsid w:val="3ACD2072"/>
    <w:rsid w:val="3AE04A45"/>
    <w:rsid w:val="3BA626C0"/>
    <w:rsid w:val="3C5B5274"/>
    <w:rsid w:val="3C9966EB"/>
    <w:rsid w:val="3CDD12D1"/>
    <w:rsid w:val="3DC56D78"/>
    <w:rsid w:val="3ED24E20"/>
    <w:rsid w:val="3F532376"/>
    <w:rsid w:val="402045D7"/>
    <w:rsid w:val="40D36032"/>
    <w:rsid w:val="40DE35E8"/>
    <w:rsid w:val="41B21105"/>
    <w:rsid w:val="41CD095F"/>
    <w:rsid w:val="435D056A"/>
    <w:rsid w:val="44757C73"/>
    <w:rsid w:val="447E374E"/>
    <w:rsid w:val="44CC0F97"/>
    <w:rsid w:val="44D969DA"/>
    <w:rsid w:val="44DB01A8"/>
    <w:rsid w:val="44E20CB5"/>
    <w:rsid w:val="47A263B1"/>
    <w:rsid w:val="47FC3011"/>
    <w:rsid w:val="48192F3A"/>
    <w:rsid w:val="49847E1B"/>
    <w:rsid w:val="4A474D79"/>
    <w:rsid w:val="4B86499F"/>
    <w:rsid w:val="4C1A7C8C"/>
    <w:rsid w:val="4C226976"/>
    <w:rsid w:val="4C8A10A8"/>
    <w:rsid w:val="4E572D70"/>
    <w:rsid w:val="4EB7477D"/>
    <w:rsid w:val="4ED4505D"/>
    <w:rsid w:val="4F5A37B4"/>
    <w:rsid w:val="4F7B46A3"/>
    <w:rsid w:val="504C3911"/>
    <w:rsid w:val="5100482F"/>
    <w:rsid w:val="516D43BA"/>
    <w:rsid w:val="524A0F66"/>
    <w:rsid w:val="52615B45"/>
    <w:rsid w:val="52751ADD"/>
    <w:rsid w:val="52E10E73"/>
    <w:rsid w:val="5313478B"/>
    <w:rsid w:val="5323708E"/>
    <w:rsid w:val="53C751CE"/>
    <w:rsid w:val="5418765B"/>
    <w:rsid w:val="54AE468E"/>
    <w:rsid w:val="55515659"/>
    <w:rsid w:val="55653867"/>
    <w:rsid w:val="57CB13A1"/>
    <w:rsid w:val="592310BA"/>
    <w:rsid w:val="59B14918"/>
    <w:rsid w:val="59C46F34"/>
    <w:rsid w:val="59C54E37"/>
    <w:rsid w:val="5ADC7C87"/>
    <w:rsid w:val="5C0D1DBE"/>
    <w:rsid w:val="5C282C54"/>
    <w:rsid w:val="5C7658F5"/>
    <w:rsid w:val="5CC24D8D"/>
    <w:rsid w:val="5CF85B14"/>
    <w:rsid w:val="5D283143"/>
    <w:rsid w:val="5E4B64F4"/>
    <w:rsid w:val="5EF01535"/>
    <w:rsid w:val="5F65341F"/>
    <w:rsid w:val="5F6755FA"/>
    <w:rsid w:val="5F8E417F"/>
    <w:rsid w:val="5FFC2665"/>
    <w:rsid w:val="608F54CC"/>
    <w:rsid w:val="60EA025D"/>
    <w:rsid w:val="611652D5"/>
    <w:rsid w:val="613B49E4"/>
    <w:rsid w:val="652377EE"/>
    <w:rsid w:val="653231F5"/>
    <w:rsid w:val="655A4500"/>
    <w:rsid w:val="65704437"/>
    <w:rsid w:val="65870BE3"/>
    <w:rsid w:val="67465B2E"/>
    <w:rsid w:val="67EE5618"/>
    <w:rsid w:val="685E4CBF"/>
    <w:rsid w:val="68643E6A"/>
    <w:rsid w:val="688107F7"/>
    <w:rsid w:val="68AF6BF9"/>
    <w:rsid w:val="69817394"/>
    <w:rsid w:val="6BF33839"/>
    <w:rsid w:val="6C3E2030"/>
    <w:rsid w:val="6C5936DB"/>
    <w:rsid w:val="6C9535EE"/>
    <w:rsid w:val="6EC6456A"/>
    <w:rsid w:val="6F1316D4"/>
    <w:rsid w:val="6F155D42"/>
    <w:rsid w:val="707502F8"/>
    <w:rsid w:val="713F6856"/>
    <w:rsid w:val="72467C7A"/>
    <w:rsid w:val="731B0AAE"/>
    <w:rsid w:val="74055B35"/>
    <w:rsid w:val="759A6609"/>
    <w:rsid w:val="761653A4"/>
    <w:rsid w:val="765C1A69"/>
    <w:rsid w:val="76E530FA"/>
    <w:rsid w:val="782718EA"/>
    <w:rsid w:val="784964E6"/>
    <w:rsid w:val="799D0F8E"/>
    <w:rsid w:val="7B2B617B"/>
    <w:rsid w:val="7B6D4618"/>
    <w:rsid w:val="7CD636BD"/>
    <w:rsid w:val="7D0457E2"/>
    <w:rsid w:val="7D2F59D0"/>
    <w:rsid w:val="7D783EE6"/>
    <w:rsid w:val="7DAE6347"/>
    <w:rsid w:val="7DB56D24"/>
    <w:rsid w:val="7DE229B0"/>
    <w:rsid w:val="7E83198C"/>
    <w:rsid w:val="7EA25A11"/>
    <w:rsid w:val="7EC02D84"/>
    <w:rsid w:val="7F455073"/>
    <w:rsid w:val="7F8E6CE8"/>
    <w:rsid w:val="7FE770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qFormat="1"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5"/>
    <w:qFormat/>
    <w:uiPriority w:val="0"/>
    <w:pPr>
      <w:keepNext/>
      <w:keepLines/>
      <w:spacing w:before="340" w:after="330" w:line="578" w:lineRule="auto"/>
      <w:outlineLvl w:val="0"/>
    </w:pPr>
    <w:rPr>
      <w:rFonts w:eastAsia="黑体"/>
      <w:b/>
      <w:bCs/>
      <w:kern w:val="44"/>
      <w:sz w:val="32"/>
      <w:szCs w:val="44"/>
    </w:rPr>
  </w:style>
  <w:style w:type="paragraph" w:styleId="4">
    <w:name w:val="heading 2"/>
    <w:basedOn w:val="1"/>
    <w:next w:val="1"/>
    <w:link w:val="124"/>
    <w:qFormat/>
    <w:uiPriority w:val="0"/>
    <w:pPr>
      <w:keepNext/>
      <w:keepLines/>
      <w:spacing w:before="260" w:after="260" w:line="416" w:lineRule="auto"/>
      <w:outlineLvl w:val="1"/>
    </w:pPr>
    <w:rPr>
      <w:rFonts w:ascii="Arial" w:hAnsi="Arial" w:eastAsia="黑体"/>
      <w:b/>
      <w:bCs/>
      <w:sz w:val="30"/>
      <w:szCs w:val="32"/>
    </w:rPr>
  </w:style>
  <w:style w:type="paragraph" w:styleId="5">
    <w:name w:val="heading 3"/>
    <w:basedOn w:val="1"/>
    <w:next w:val="1"/>
    <w:link w:val="69"/>
    <w:qFormat/>
    <w:uiPriority w:val="0"/>
    <w:pPr>
      <w:keepNext/>
      <w:keepLines/>
      <w:spacing w:before="260" w:after="260" w:line="416" w:lineRule="auto"/>
      <w:outlineLvl w:val="2"/>
    </w:pPr>
    <w:rPr>
      <w:rFonts w:eastAsia="黑体"/>
      <w:b/>
      <w:bCs/>
      <w:sz w:val="28"/>
      <w:szCs w:val="32"/>
    </w:rPr>
  </w:style>
  <w:style w:type="paragraph" w:styleId="6">
    <w:name w:val="heading 4"/>
    <w:basedOn w:val="1"/>
    <w:next w:val="1"/>
    <w:qFormat/>
    <w:uiPriority w:val="0"/>
    <w:pPr>
      <w:keepNext/>
      <w:keepLines/>
      <w:spacing w:before="280" w:after="290" w:line="376" w:lineRule="auto"/>
      <w:outlineLvl w:val="3"/>
    </w:pPr>
    <w:rPr>
      <w:rFonts w:ascii="Arial" w:hAnsi="Arial"/>
      <w:b/>
      <w:bCs/>
      <w:sz w:val="28"/>
      <w:szCs w:val="28"/>
    </w:rPr>
  </w:style>
  <w:style w:type="paragraph" w:styleId="7">
    <w:name w:val="heading 5"/>
    <w:basedOn w:val="1"/>
    <w:next w:val="1"/>
    <w:qFormat/>
    <w:uiPriority w:val="0"/>
    <w:pPr>
      <w:keepNext/>
      <w:jc w:val="center"/>
      <w:outlineLvl w:val="4"/>
    </w:pPr>
    <w:rPr>
      <w:rFonts w:ascii="Arial" w:hAnsi="Arial"/>
      <w:sz w:val="28"/>
    </w:rPr>
  </w:style>
  <w:style w:type="paragraph" w:styleId="8">
    <w:name w:val="heading 6"/>
    <w:basedOn w:val="1"/>
    <w:next w:val="1"/>
    <w:qFormat/>
    <w:uiPriority w:val="0"/>
    <w:pPr>
      <w:keepNext/>
      <w:tabs>
        <w:tab w:val="left" w:pos="720"/>
      </w:tabs>
      <w:spacing w:line="240" w:lineRule="atLeast"/>
      <w:ind w:left="720" w:hanging="180"/>
      <w:outlineLvl w:val="5"/>
    </w:pPr>
    <w:rPr>
      <w:rFonts w:hint="eastAsia" w:ascii="宋体" w:hAnsi="宋体" w:cs="Arial Unicode MS"/>
      <w:color w:val="000000"/>
      <w:sz w:val="28"/>
    </w:rPr>
  </w:style>
  <w:style w:type="paragraph" w:styleId="9">
    <w:name w:val="heading 7"/>
    <w:basedOn w:val="1"/>
    <w:next w:val="10"/>
    <w:qFormat/>
    <w:uiPriority w:val="0"/>
    <w:pPr>
      <w:keepNext/>
      <w:keepLines/>
      <w:spacing w:before="240" w:after="64" w:line="320" w:lineRule="auto"/>
      <w:outlineLvl w:val="6"/>
    </w:pPr>
    <w:rPr>
      <w:b/>
      <w:sz w:val="24"/>
    </w:rPr>
  </w:style>
  <w:style w:type="paragraph" w:styleId="11">
    <w:name w:val="heading 8"/>
    <w:basedOn w:val="1"/>
    <w:next w:val="10"/>
    <w:qFormat/>
    <w:uiPriority w:val="0"/>
    <w:pPr>
      <w:keepNext/>
      <w:keepLines/>
      <w:spacing w:before="240" w:after="64" w:line="320" w:lineRule="auto"/>
      <w:outlineLvl w:val="7"/>
    </w:pPr>
    <w:rPr>
      <w:rFonts w:ascii="Arial" w:hAnsi="Arial" w:eastAsia="黑体"/>
      <w:sz w:val="24"/>
    </w:rPr>
  </w:style>
  <w:style w:type="paragraph" w:styleId="12">
    <w:name w:val="heading 9"/>
    <w:basedOn w:val="1"/>
    <w:next w:val="10"/>
    <w:qFormat/>
    <w:uiPriority w:val="0"/>
    <w:pPr>
      <w:keepNext/>
      <w:keepLines/>
      <w:spacing w:before="240" w:after="64" w:line="320" w:lineRule="auto"/>
      <w:outlineLvl w:val="8"/>
    </w:pPr>
    <w:rPr>
      <w:rFonts w:ascii="Arial" w:hAnsi="Arial" w:eastAsia="黑体"/>
    </w:rPr>
  </w:style>
  <w:style w:type="character" w:default="1" w:styleId="43">
    <w:name w:val="Default Paragraph Font"/>
    <w:unhideWhenUsed/>
    <w:qFormat/>
    <w:uiPriority w:val="1"/>
  </w:style>
  <w:style w:type="table" w:default="1" w:styleId="41">
    <w:name w:val="Normal Table"/>
    <w:unhideWhenUsed/>
    <w:qFormat/>
    <w:uiPriority w:val="99"/>
    <w:tblPr>
      <w:tblCellMar>
        <w:top w:w="0" w:type="dxa"/>
        <w:left w:w="108" w:type="dxa"/>
        <w:bottom w:w="0" w:type="dxa"/>
        <w:right w:w="108" w:type="dxa"/>
      </w:tblCellMar>
    </w:tblPr>
  </w:style>
  <w:style w:type="paragraph" w:styleId="2">
    <w:name w:val="Body Text Indent 2"/>
    <w:basedOn w:val="1"/>
    <w:link w:val="61"/>
    <w:qFormat/>
    <w:uiPriority w:val="0"/>
    <w:pPr>
      <w:tabs>
        <w:tab w:val="left" w:pos="1140"/>
      </w:tabs>
      <w:ind w:firstLine="560" w:firstLineChars="200"/>
    </w:pPr>
    <w:rPr>
      <w:rFonts w:ascii="Arial" w:hAnsi="Arial"/>
      <w:color w:val="000000"/>
      <w:sz w:val="28"/>
    </w:rPr>
  </w:style>
  <w:style w:type="paragraph" w:styleId="10">
    <w:name w:val="Normal Indent"/>
    <w:basedOn w:val="1"/>
    <w:link w:val="75"/>
    <w:qFormat/>
    <w:uiPriority w:val="0"/>
    <w:pPr>
      <w:widowControl/>
      <w:ind w:left="425"/>
      <w:jc w:val="left"/>
    </w:pPr>
    <w:rPr>
      <w:kern w:val="0"/>
      <w:sz w:val="20"/>
      <w:szCs w:val="20"/>
      <w:lang w:eastAsia="en-US"/>
    </w:rPr>
  </w:style>
  <w:style w:type="paragraph" w:styleId="13">
    <w:name w:val="List 3"/>
    <w:basedOn w:val="1"/>
    <w:qFormat/>
    <w:uiPriority w:val="0"/>
    <w:pPr>
      <w:ind w:left="1260" w:hanging="420"/>
    </w:pPr>
    <w:rPr>
      <w:szCs w:val="20"/>
    </w:rPr>
  </w:style>
  <w:style w:type="paragraph" w:styleId="14">
    <w:name w:val="toc 7"/>
    <w:basedOn w:val="1"/>
    <w:next w:val="1"/>
    <w:semiHidden/>
    <w:qFormat/>
    <w:uiPriority w:val="0"/>
    <w:pPr>
      <w:ind w:left="1260"/>
      <w:jc w:val="left"/>
    </w:pPr>
    <w:rPr>
      <w:sz w:val="18"/>
      <w:szCs w:val="18"/>
    </w:rPr>
  </w:style>
  <w:style w:type="paragraph" w:styleId="15">
    <w:name w:val="Document Map"/>
    <w:basedOn w:val="1"/>
    <w:semiHidden/>
    <w:qFormat/>
    <w:uiPriority w:val="0"/>
    <w:pPr>
      <w:shd w:val="clear" w:color="auto" w:fill="000080"/>
    </w:pPr>
  </w:style>
  <w:style w:type="paragraph" w:styleId="16">
    <w:name w:val="annotation text"/>
    <w:basedOn w:val="1"/>
    <w:link w:val="70"/>
    <w:qFormat/>
    <w:uiPriority w:val="0"/>
    <w:pPr>
      <w:jc w:val="left"/>
    </w:pPr>
  </w:style>
  <w:style w:type="paragraph" w:styleId="17">
    <w:name w:val="Body Text 3"/>
    <w:basedOn w:val="1"/>
    <w:qFormat/>
    <w:uiPriority w:val="0"/>
    <w:rPr>
      <w:rFonts w:ascii="宋体" w:hAnsi="宋体"/>
      <w:color w:val="000000"/>
      <w:sz w:val="28"/>
    </w:rPr>
  </w:style>
  <w:style w:type="paragraph" w:styleId="18">
    <w:name w:val="Body Text"/>
    <w:basedOn w:val="1"/>
    <w:qFormat/>
    <w:uiPriority w:val="0"/>
    <w:rPr>
      <w:color w:val="FF0000"/>
    </w:rPr>
  </w:style>
  <w:style w:type="paragraph" w:styleId="19">
    <w:name w:val="Body Text Indent"/>
    <w:basedOn w:val="1"/>
    <w:qFormat/>
    <w:uiPriority w:val="0"/>
    <w:pPr>
      <w:ind w:left="-4" w:leftChars="-2" w:firstLine="560" w:firstLineChars="200"/>
    </w:pPr>
    <w:rPr>
      <w:rFonts w:ascii="宋体"/>
      <w:sz w:val="28"/>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spacing w:line="360" w:lineRule="auto"/>
      <w:ind w:left="420"/>
      <w:jc w:val="left"/>
    </w:pPr>
    <w:rPr>
      <w:iCs/>
      <w:sz w:val="24"/>
      <w:szCs w:val="20"/>
    </w:rPr>
  </w:style>
  <w:style w:type="paragraph" w:styleId="22">
    <w:name w:val="Plain Text"/>
    <w:basedOn w:val="1"/>
    <w:link w:val="73"/>
    <w:qFormat/>
    <w:uiPriority w:val="0"/>
    <w:rPr>
      <w:rFonts w:ascii="宋体" w:hAnsi="Courier New" w:cs="Courier New"/>
      <w:szCs w:val="21"/>
    </w:rPr>
  </w:style>
  <w:style w:type="paragraph" w:styleId="23">
    <w:name w:val="toc 8"/>
    <w:basedOn w:val="1"/>
    <w:next w:val="1"/>
    <w:semiHidden/>
    <w:qFormat/>
    <w:uiPriority w:val="0"/>
    <w:pPr>
      <w:ind w:left="1470"/>
      <w:jc w:val="left"/>
    </w:pPr>
    <w:rPr>
      <w:sz w:val="18"/>
      <w:szCs w:val="18"/>
    </w:rPr>
  </w:style>
  <w:style w:type="paragraph" w:styleId="24">
    <w:name w:val="index 3"/>
    <w:basedOn w:val="1"/>
    <w:next w:val="1"/>
    <w:qFormat/>
    <w:uiPriority w:val="0"/>
    <w:pPr>
      <w:tabs>
        <w:tab w:val="left" w:pos="1756"/>
      </w:tabs>
      <w:ind w:left="1756" w:hanging="425"/>
    </w:pPr>
    <w:rPr>
      <w:sz w:val="24"/>
    </w:rPr>
  </w:style>
  <w:style w:type="paragraph" w:styleId="25">
    <w:name w:val="Date"/>
    <w:basedOn w:val="1"/>
    <w:next w:val="1"/>
    <w:link w:val="66"/>
    <w:qFormat/>
    <w:uiPriority w:val="0"/>
    <w:rPr>
      <w:sz w:val="28"/>
      <w:szCs w:val="20"/>
    </w:rPr>
  </w:style>
  <w:style w:type="paragraph" w:styleId="26">
    <w:name w:val="Balloon Text"/>
    <w:basedOn w:val="1"/>
    <w:link w:val="71"/>
    <w:qFormat/>
    <w:uiPriority w:val="0"/>
    <w:rPr>
      <w:sz w:val="18"/>
      <w:szCs w:val="18"/>
    </w:rPr>
  </w:style>
  <w:style w:type="paragraph" w:styleId="27">
    <w:name w:val="footer"/>
    <w:basedOn w:val="1"/>
    <w:link w:val="115"/>
    <w:qFormat/>
    <w:uiPriority w:val="99"/>
    <w:pPr>
      <w:tabs>
        <w:tab w:val="center" w:pos="4153"/>
        <w:tab w:val="right" w:pos="8306"/>
      </w:tabs>
      <w:snapToGrid w:val="0"/>
      <w:jc w:val="left"/>
    </w:pPr>
    <w:rPr>
      <w:sz w:val="18"/>
      <w:szCs w:val="18"/>
    </w:rPr>
  </w:style>
  <w:style w:type="paragraph" w:styleId="2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spacing w:before="120" w:after="120" w:line="360" w:lineRule="auto"/>
      <w:jc w:val="left"/>
    </w:pPr>
    <w:rPr>
      <w:b/>
      <w:bCs/>
      <w:caps/>
      <w:sz w:val="24"/>
      <w:szCs w:val="20"/>
    </w:rPr>
  </w:style>
  <w:style w:type="paragraph" w:styleId="30">
    <w:name w:val="toc 4"/>
    <w:basedOn w:val="1"/>
    <w:next w:val="1"/>
    <w:semiHidden/>
    <w:qFormat/>
    <w:uiPriority w:val="0"/>
    <w:pPr>
      <w:ind w:left="630"/>
      <w:jc w:val="left"/>
    </w:pPr>
    <w:rPr>
      <w:sz w:val="18"/>
      <w:szCs w:val="18"/>
    </w:rPr>
  </w:style>
  <w:style w:type="paragraph" w:styleId="31">
    <w:name w:val="footnote text"/>
    <w:basedOn w:val="1"/>
    <w:semiHidden/>
    <w:qFormat/>
    <w:uiPriority w:val="0"/>
    <w:pPr>
      <w:snapToGrid w:val="0"/>
      <w:jc w:val="left"/>
    </w:pPr>
    <w:rPr>
      <w:sz w:val="18"/>
      <w:szCs w:val="18"/>
    </w:rPr>
  </w:style>
  <w:style w:type="paragraph" w:styleId="32">
    <w:name w:val="toc 6"/>
    <w:basedOn w:val="1"/>
    <w:next w:val="1"/>
    <w:semiHidden/>
    <w:qFormat/>
    <w:uiPriority w:val="0"/>
    <w:pPr>
      <w:ind w:left="1050"/>
      <w:jc w:val="left"/>
    </w:pPr>
    <w:rPr>
      <w:sz w:val="18"/>
      <w:szCs w:val="18"/>
    </w:rPr>
  </w:style>
  <w:style w:type="paragraph" w:styleId="33">
    <w:name w:val="Body Text Indent 3"/>
    <w:basedOn w:val="1"/>
    <w:qFormat/>
    <w:uiPriority w:val="0"/>
    <w:pPr>
      <w:ind w:left="360" w:firstLine="480"/>
    </w:pPr>
    <w:rPr>
      <w:sz w:val="24"/>
      <w:szCs w:val="20"/>
    </w:rPr>
  </w:style>
  <w:style w:type="paragraph" w:styleId="34">
    <w:name w:val="toc 2"/>
    <w:basedOn w:val="1"/>
    <w:next w:val="1"/>
    <w:qFormat/>
    <w:uiPriority w:val="39"/>
    <w:pPr>
      <w:spacing w:line="360" w:lineRule="auto"/>
      <w:ind w:left="210"/>
      <w:jc w:val="left"/>
    </w:pPr>
    <w:rPr>
      <w:smallCaps/>
      <w:sz w:val="24"/>
      <w:szCs w:val="20"/>
    </w:rPr>
  </w:style>
  <w:style w:type="paragraph" w:styleId="35">
    <w:name w:val="toc 9"/>
    <w:basedOn w:val="1"/>
    <w:next w:val="1"/>
    <w:semiHidden/>
    <w:qFormat/>
    <w:uiPriority w:val="0"/>
    <w:pPr>
      <w:ind w:left="1680"/>
      <w:jc w:val="left"/>
    </w:pPr>
    <w:rPr>
      <w:sz w:val="18"/>
      <w:szCs w:val="18"/>
    </w:rPr>
  </w:style>
  <w:style w:type="paragraph" w:styleId="36">
    <w:name w:val="Body Text 2"/>
    <w:basedOn w:val="1"/>
    <w:qFormat/>
    <w:uiPriority w:val="0"/>
    <w:rPr>
      <w:rFonts w:ascii="Arial" w:hAnsi="Arial"/>
      <w:b/>
      <w:bCs/>
      <w:sz w:val="28"/>
    </w:rPr>
  </w:style>
  <w:style w:type="paragraph" w:styleId="37">
    <w:name w:val="HTML Preformatted"/>
    <w:basedOn w:val="1"/>
    <w:link w:val="7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38">
    <w:name w:val="Normal (Web)"/>
    <w:basedOn w:val="1"/>
    <w:link w:val="59"/>
    <w:qFormat/>
    <w:uiPriority w:val="0"/>
    <w:pPr>
      <w:spacing w:line="300" w:lineRule="auto"/>
    </w:pPr>
    <w:rPr>
      <w:sz w:val="24"/>
    </w:rPr>
  </w:style>
  <w:style w:type="paragraph" w:styleId="39">
    <w:name w:val="annotation subject"/>
    <w:basedOn w:val="16"/>
    <w:next w:val="16"/>
    <w:semiHidden/>
    <w:qFormat/>
    <w:uiPriority w:val="0"/>
    <w:rPr>
      <w:b/>
      <w:bCs/>
    </w:rPr>
  </w:style>
  <w:style w:type="paragraph" w:styleId="40">
    <w:name w:val="Body Text First Indent 2"/>
    <w:qFormat/>
    <w:uiPriority w:val="0"/>
    <w:pPr>
      <w:keepNext w:val="0"/>
      <w:keepLines w:val="0"/>
      <w:widowControl w:val="0"/>
      <w:suppressLineNumbers w:val="0"/>
      <w:ind w:left="-4" w:leftChars="-2" w:firstLine="420" w:firstLineChars="200"/>
      <w:jc w:val="both"/>
    </w:pPr>
    <w:rPr>
      <w:rFonts w:hint="eastAsia" w:ascii="宋体" w:hAnsi="Times New Roman" w:eastAsia="宋体" w:cs="Times New Roman"/>
      <w:kern w:val="2"/>
      <w:sz w:val="28"/>
      <w:szCs w:val="28"/>
      <w:lang w:val="en-US" w:eastAsia="zh-CN" w:bidi="ar"/>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basedOn w:val="43"/>
    <w:qFormat/>
    <w:uiPriority w:val="0"/>
    <w:rPr>
      <w:color w:val="5C5C5C"/>
      <w:u w:val="none"/>
    </w:rPr>
  </w:style>
  <w:style w:type="character" w:styleId="47">
    <w:name w:val="Emphasis"/>
    <w:basedOn w:val="43"/>
    <w:qFormat/>
    <w:uiPriority w:val="0"/>
    <w:rPr>
      <w:b/>
      <w:bCs/>
    </w:rPr>
  </w:style>
  <w:style w:type="character" w:styleId="48">
    <w:name w:val="HTML Definition"/>
    <w:basedOn w:val="43"/>
    <w:qFormat/>
    <w:uiPriority w:val="0"/>
    <w:rPr>
      <w:color w:val="D6D6D6"/>
      <w:sz w:val="24"/>
      <w:szCs w:val="24"/>
    </w:rPr>
  </w:style>
  <w:style w:type="character" w:styleId="49">
    <w:name w:val="HTML Typewriter"/>
    <w:basedOn w:val="43"/>
    <w:qFormat/>
    <w:uiPriority w:val="0"/>
    <w:rPr>
      <w:rFonts w:ascii="monospace" w:hAnsi="monospace" w:eastAsia="monospace" w:cs="monospace"/>
      <w:sz w:val="20"/>
    </w:rPr>
  </w:style>
  <w:style w:type="character" w:styleId="50">
    <w:name w:val="HTML Acronym"/>
    <w:basedOn w:val="43"/>
    <w:qFormat/>
    <w:uiPriority w:val="0"/>
  </w:style>
  <w:style w:type="character" w:styleId="51">
    <w:name w:val="HTML Variable"/>
    <w:basedOn w:val="43"/>
    <w:qFormat/>
    <w:uiPriority w:val="0"/>
  </w:style>
  <w:style w:type="character" w:styleId="52">
    <w:name w:val="Hyperlink"/>
    <w:basedOn w:val="43"/>
    <w:qFormat/>
    <w:uiPriority w:val="99"/>
    <w:rPr>
      <w:color w:val="5C5C5C"/>
      <w:u w:val="none"/>
    </w:rPr>
  </w:style>
  <w:style w:type="character" w:styleId="53">
    <w:name w:val="HTML Code"/>
    <w:basedOn w:val="43"/>
    <w:qFormat/>
    <w:uiPriority w:val="0"/>
    <w:rPr>
      <w:rFonts w:hint="default" w:ascii="monospace" w:hAnsi="monospace" w:eastAsia="monospace" w:cs="monospace"/>
      <w:sz w:val="20"/>
    </w:rPr>
  </w:style>
  <w:style w:type="character" w:styleId="54">
    <w:name w:val="annotation reference"/>
    <w:qFormat/>
    <w:uiPriority w:val="0"/>
    <w:rPr>
      <w:sz w:val="21"/>
      <w:szCs w:val="21"/>
    </w:rPr>
  </w:style>
  <w:style w:type="character" w:styleId="55">
    <w:name w:val="HTML Cite"/>
    <w:basedOn w:val="43"/>
    <w:qFormat/>
    <w:uiPriority w:val="0"/>
  </w:style>
  <w:style w:type="character" w:styleId="56">
    <w:name w:val="footnote reference"/>
    <w:semiHidden/>
    <w:qFormat/>
    <w:uiPriority w:val="0"/>
    <w:rPr>
      <w:vertAlign w:val="superscript"/>
    </w:rPr>
  </w:style>
  <w:style w:type="character" w:styleId="57">
    <w:name w:val="HTML Keyboard"/>
    <w:basedOn w:val="43"/>
    <w:qFormat/>
    <w:uiPriority w:val="0"/>
    <w:rPr>
      <w:rFonts w:hint="default" w:ascii="monospace" w:hAnsi="monospace" w:eastAsia="monospace" w:cs="monospace"/>
      <w:sz w:val="20"/>
    </w:rPr>
  </w:style>
  <w:style w:type="character" w:styleId="58">
    <w:name w:val="HTML Sample"/>
    <w:basedOn w:val="43"/>
    <w:qFormat/>
    <w:uiPriority w:val="0"/>
    <w:rPr>
      <w:rFonts w:hint="default" w:ascii="monospace" w:hAnsi="monospace" w:eastAsia="monospace" w:cs="monospace"/>
    </w:rPr>
  </w:style>
  <w:style w:type="character" w:customStyle="1" w:styleId="59">
    <w:name w:val="普通(网站) Char"/>
    <w:link w:val="38"/>
    <w:qFormat/>
    <w:uiPriority w:val="0"/>
    <w:rPr>
      <w:kern w:val="2"/>
      <w:sz w:val="24"/>
      <w:szCs w:val="24"/>
    </w:rPr>
  </w:style>
  <w:style w:type="character" w:customStyle="1" w:styleId="60">
    <w:name w:val="content1"/>
    <w:qFormat/>
    <w:uiPriority w:val="0"/>
    <w:rPr>
      <w:sz w:val="18"/>
      <w:szCs w:val="18"/>
    </w:rPr>
  </w:style>
  <w:style w:type="character" w:customStyle="1" w:styleId="61">
    <w:name w:val="正文文本缩进 2 Char"/>
    <w:link w:val="2"/>
    <w:qFormat/>
    <w:uiPriority w:val="0"/>
    <w:rPr>
      <w:rFonts w:ascii="Arial" w:hAnsi="Arial"/>
      <w:color w:val="000000"/>
      <w:kern w:val="2"/>
      <w:sz w:val="28"/>
      <w:szCs w:val="24"/>
    </w:rPr>
  </w:style>
  <w:style w:type="character" w:customStyle="1" w:styleId="62">
    <w:name w:val="标题 2 Char"/>
    <w:link w:val="4"/>
    <w:qFormat/>
    <w:uiPriority w:val="0"/>
    <w:rPr>
      <w:rFonts w:ascii="Arial" w:hAnsi="Arial" w:eastAsia="黑体"/>
      <w:b/>
      <w:bCs/>
      <w:kern w:val="2"/>
      <w:sz w:val="30"/>
      <w:szCs w:val="32"/>
      <w:lang w:val="en-US" w:eastAsia="zh-CN" w:bidi="ar-SA"/>
    </w:rPr>
  </w:style>
  <w:style w:type="character" w:customStyle="1" w:styleId="63">
    <w:name w:val="正文文本 (2)_"/>
    <w:link w:val="64"/>
    <w:qFormat/>
    <w:locked/>
    <w:uiPriority w:val="99"/>
    <w:rPr>
      <w:rFonts w:ascii="微软雅黑" w:eastAsia="微软雅黑"/>
      <w:spacing w:val="20"/>
      <w:w w:val="75"/>
      <w:sz w:val="28"/>
      <w:szCs w:val="28"/>
      <w:shd w:val="clear" w:color="auto" w:fill="FFFFFF"/>
    </w:rPr>
  </w:style>
  <w:style w:type="paragraph" w:customStyle="1" w:styleId="64">
    <w:name w:val="正文文本 (2)1"/>
    <w:basedOn w:val="1"/>
    <w:link w:val="63"/>
    <w:qFormat/>
    <w:uiPriority w:val="99"/>
    <w:pPr>
      <w:shd w:val="clear" w:color="auto" w:fill="FFFFFF"/>
      <w:spacing w:line="470" w:lineRule="exact"/>
      <w:ind w:hanging="640"/>
      <w:jc w:val="left"/>
    </w:pPr>
    <w:rPr>
      <w:rFonts w:ascii="微软雅黑" w:eastAsia="微软雅黑"/>
      <w:spacing w:val="20"/>
      <w:w w:val="75"/>
      <w:kern w:val="0"/>
      <w:sz w:val="28"/>
      <w:szCs w:val="28"/>
    </w:rPr>
  </w:style>
  <w:style w:type="character" w:customStyle="1" w:styleId="65">
    <w:name w:val="标题 1 Char"/>
    <w:link w:val="3"/>
    <w:qFormat/>
    <w:uiPriority w:val="0"/>
    <w:rPr>
      <w:rFonts w:eastAsia="黑体"/>
      <w:b/>
      <w:bCs/>
      <w:kern w:val="44"/>
      <w:sz w:val="32"/>
      <w:szCs w:val="44"/>
      <w:lang w:val="en-US" w:eastAsia="zh-CN" w:bidi="ar-SA"/>
    </w:rPr>
  </w:style>
  <w:style w:type="character" w:customStyle="1" w:styleId="66">
    <w:name w:val="日期 Char"/>
    <w:link w:val="25"/>
    <w:qFormat/>
    <w:uiPriority w:val="0"/>
    <w:rPr>
      <w:rFonts w:eastAsia="宋体"/>
      <w:kern w:val="2"/>
      <w:sz w:val="28"/>
      <w:lang w:val="en-US" w:eastAsia="zh-CN" w:bidi="ar-SA"/>
    </w:rPr>
  </w:style>
  <w:style w:type="character" w:customStyle="1" w:styleId="67">
    <w:name w:val="访问过的超链接"/>
    <w:qFormat/>
    <w:uiPriority w:val="0"/>
    <w:rPr>
      <w:color w:val="800080"/>
      <w:u w:val="single"/>
    </w:rPr>
  </w:style>
  <w:style w:type="character" w:customStyle="1" w:styleId="68">
    <w:name w:val="Char Char7"/>
    <w:qFormat/>
    <w:uiPriority w:val="0"/>
    <w:rPr>
      <w:rFonts w:ascii="Arial" w:hAnsi="Arial" w:eastAsia="黑体"/>
      <w:b/>
      <w:bCs/>
      <w:kern w:val="2"/>
      <w:sz w:val="30"/>
      <w:szCs w:val="32"/>
      <w:lang w:val="en-US" w:eastAsia="zh-CN" w:bidi="ar-SA"/>
    </w:rPr>
  </w:style>
  <w:style w:type="character" w:customStyle="1" w:styleId="69">
    <w:name w:val="标题 3 Char"/>
    <w:link w:val="5"/>
    <w:qFormat/>
    <w:uiPriority w:val="0"/>
    <w:rPr>
      <w:rFonts w:eastAsia="黑体"/>
      <w:b/>
      <w:bCs/>
      <w:kern w:val="2"/>
      <w:sz w:val="28"/>
      <w:szCs w:val="32"/>
      <w:lang w:val="en-US" w:eastAsia="zh-CN" w:bidi="ar-SA"/>
    </w:rPr>
  </w:style>
  <w:style w:type="character" w:customStyle="1" w:styleId="70">
    <w:name w:val="批注文字 Char"/>
    <w:link w:val="16"/>
    <w:qFormat/>
    <w:uiPriority w:val="0"/>
    <w:rPr>
      <w:rFonts w:eastAsia="宋体"/>
      <w:kern w:val="2"/>
      <w:sz w:val="21"/>
      <w:szCs w:val="24"/>
      <w:lang w:val="en-US" w:eastAsia="zh-CN" w:bidi="ar-SA"/>
    </w:rPr>
  </w:style>
  <w:style w:type="character" w:customStyle="1" w:styleId="71">
    <w:name w:val="批注框文本 Char"/>
    <w:link w:val="26"/>
    <w:qFormat/>
    <w:uiPriority w:val="0"/>
    <w:rPr>
      <w:kern w:val="2"/>
      <w:sz w:val="18"/>
      <w:szCs w:val="18"/>
    </w:rPr>
  </w:style>
  <w:style w:type="character" w:customStyle="1" w:styleId="72">
    <w:name w:val="Texte Char"/>
    <w:qFormat/>
    <w:uiPriority w:val="0"/>
    <w:rPr>
      <w:rFonts w:ascii="宋体" w:hAnsi="Courier New" w:eastAsia="宋体"/>
      <w:kern w:val="2"/>
      <w:sz w:val="21"/>
      <w:szCs w:val="21"/>
      <w:lang w:val="en-US" w:eastAsia="zh-CN" w:bidi="ar-SA"/>
    </w:rPr>
  </w:style>
  <w:style w:type="character" w:customStyle="1" w:styleId="73">
    <w:name w:val="纯文本 Char1"/>
    <w:link w:val="22"/>
    <w:qFormat/>
    <w:uiPriority w:val="0"/>
    <w:rPr>
      <w:rFonts w:ascii="宋体" w:hAnsi="Courier New" w:eastAsia="宋体" w:cs="Courier New"/>
      <w:kern w:val="2"/>
      <w:sz w:val="21"/>
      <w:szCs w:val="21"/>
      <w:lang w:val="en-US" w:eastAsia="zh-CN" w:bidi="ar-SA"/>
    </w:rPr>
  </w:style>
  <w:style w:type="character" w:customStyle="1" w:styleId="74">
    <w:name w:val="title21"/>
    <w:qFormat/>
    <w:uiPriority w:val="0"/>
    <w:rPr>
      <w:b/>
      <w:bCs/>
      <w:color w:val="000000"/>
      <w:sz w:val="20"/>
      <w:szCs w:val="20"/>
      <w:u w:val="none"/>
    </w:rPr>
  </w:style>
  <w:style w:type="character" w:customStyle="1" w:styleId="75">
    <w:name w:val="正文缩进 Char"/>
    <w:link w:val="10"/>
    <w:qFormat/>
    <w:uiPriority w:val="0"/>
    <w:rPr>
      <w:rFonts w:eastAsia="宋体"/>
      <w:lang w:val="en-US" w:eastAsia="en-US" w:bidi="ar-SA"/>
    </w:rPr>
  </w:style>
  <w:style w:type="character" w:customStyle="1" w:styleId="76">
    <w:name w:val="HTML 预设格式 Char"/>
    <w:link w:val="37"/>
    <w:qFormat/>
    <w:uiPriority w:val="99"/>
    <w:rPr>
      <w:rFonts w:ascii="宋体" w:hAnsi="宋体" w:cs="宋体"/>
      <w:sz w:val="24"/>
      <w:szCs w:val="24"/>
    </w:rPr>
  </w:style>
  <w:style w:type="character" w:customStyle="1" w:styleId="77">
    <w:name w:val="font1"/>
    <w:basedOn w:val="43"/>
    <w:qFormat/>
    <w:uiPriority w:val="0"/>
  </w:style>
  <w:style w:type="character" w:customStyle="1" w:styleId="78">
    <w:name w:val="Char Char4"/>
    <w:qFormat/>
    <w:uiPriority w:val="0"/>
    <w:rPr>
      <w:rFonts w:ascii="Arial" w:hAnsi="Arial" w:eastAsia="黑体"/>
      <w:b/>
      <w:bCs/>
      <w:kern w:val="2"/>
      <w:sz w:val="30"/>
      <w:szCs w:val="32"/>
      <w:lang w:val="en-US" w:eastAsia="zh-CN" w:bidi="ar-SA"/>
    </w:rPr>
  </w:style>
  <w:style w:type="paragraph" w:customStyle="1" w:styleId="79">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0">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81">
    <w:name w:val="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2">
    <w:name w:val="z-窗体顶端1"/>
    <w:basedOn w:val="1"/>
    <w:next w:val="1"/>
    <w:qFormat/>
    <w:uiPriority w:val="0"/>
    <w:pPr>
      <w:widowControl/>
      <w:pBdr>
        <w:bottom w:val="single" w:color="auto" w:sz="6" w:space="1"/>
      </w:pBdr>
      <w:jc w:val="center"/>
    </w:pPr>
    <w:rPr>
      <w:rFonts w:ascii="Arial" w:hAnsi="Arial" w:cs="Arial"/>
      <w:vanish/>
      <w:kern w:val="0"/>
      <w:sz w:val="16"/>
      <w:szCs w:val="16"/>
    </w:rPr>
  </w:style>
  <w:style w:type="paragraph" w:customStyle="1" w:styleId="83">
    <w:name w:val="Char2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4">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85">
    <w:name w:val="TOC 标题1"/>
    <w:basedOn w:val="3"/>
    <w:next w:val="1"/>
    <w:qFormat/>
    <w:uiPriority w:val="39"/>
    <w:pPr>
      <w:widowControl/>
      <w:spacing w:before="480" w:after="0" w:line="276" w:lineRule="auto"/>
      <w:jc w:val="left"/>
      <w:outlineLvl w:val="9"/>
    </w:pPr>
    <w:rPr>
      <w:rFonts w:ascii="Cambria" w:hAnsi="Cambria" w:eastAsia="宋体"/>
      <w:color w:val="365F91"/>
      <w:kern w:val="0"/>
      <w:sz w:val="28"/>
      <w:szCs w:val="28"/>
    </w:rPr>
  </w:style>
  <w:style w:type="paragraph" w:customStyle="1" w:styleId="86">
    <w:name w:val="List Paragraph"/>
    <w:basedOn w:val="1"/>
    <w:next w:val="1"/>
    <w:qFormat/>
    <w:uiPriority w:val="34"/>
    <w:pPr>
      <w:ind w:firstLine="420" w:firstLineChars="200"/>
    </w:pPr>
    <w:rPr>
      <w:rFonts w:ascii="Calibri" w:hAnsi="Calibri"/>
      <w:szCs w:val="22"/>
    </w:rPr>
  </w:style>
  <w:style w:type="paragraph" w:customStyle="1" w:styleId="87">
    <w:name w:val="标题 31"/>
    <w:basedOn w:val="1"/>
    <w:qFormat/>
    <w:uiPriority w:val="0"/>
    <w:pPr>
      <w:tabs>
        <w:tab w:val="left" w:pos="425"/>
        <w:tab w:val="left" w:pos="1756"/>
      </w:tabs>
      <w:ind w:left="1756" w:hanging="425"/>
    </w:pPr>
  </w:style>
  <w:style w:type="paragraph" w:customStyle="1" w:styleId="88">
    <w:name w:val="默认段落字体 Para Char"/>
    <w:basedOn w:val="1"/>
    <w:qFormat/>
    <w:uiPriority w:val="0"/>
    <w:pPr>
      <w:spacing w:line="360" w:lineRule="auto"/>
      <w:jc w:val="left"/>
    </w:pPr>
    <w:rPr>
      <w:rFonts w:eastAsia="仿宋_GB2312"/>
      <w:b/>
      <w:sz w:val="32"/>
    </w:rPr>
  </w:style>
  <w:style w:type="paragraph" w:customStyle="1" w:styleId="89">
    <w:name w:val="Char Char Char1 Char Char Char Char"/>
    <w:basedOn w:val="1"/>
    <w:qFormat/>
    <w:uiPriority w:val="0"/>
    <w:pPr>
      <w:widowControl/>
      <w:spacing w:after="160" w:line="240" w:lineRule="exact"/>
      <w:jc w:val="left"/>
    </w:pPr>
    <w:rPr>
      <w:szCs w:val="20"/>
    </w:rPr>
  </w:style>
  <w:style w:type="paragraph" w:customStyle="1" w:styleId="90">
    <w:name w:val="小标题"/>
    <w:basedOn w:val="1"/>
    <w:next w:val="10"/>
    <w:qFormat/>
    <w:uiPriority w:val="0"/>
    <w:pPr>
      <w:tabs>
        <w:tab w:val="left" w:pos="420"/>
      </w:tabs>
      <w:spacing w:beforeLines="50" w:afterLines="50" w:line="360" w:lineRule="auto"/>
      <w:ind w:left="420" w:hanging="420" w:hangingChars="200"/>
    </w:pPr>
    <w:rPr>
      <w:rFonts w:ascii="Arial" w:hAnsi="Arial" w:eastAsia="黑体"/>
      <w:b/>
      <w:sz w:val="28"/>
    </w:rPr>
  </w:style>
  <w:style w:type="paragraph" w:customStyle="1" w:styleId="91">
    <w:name w:val="CM10"/>
    <w:basedOn w:val="92"/>
    <w:next w:val="92"/>
    <w:qFormat/>
    <w:uiPriority w:val="0"/>
    <w:pPr>
      <w:spacing w:line="468" w:lineRule="atLeast"/>
    </w:pPr>
    <w:rPr>
      <w:color w:val="auto"/>
    </w:rPr>
  </w:style>
  <w:style w:type="paragraph" w:customStyle="1" w:styleId="92">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93">
    <w:name w:val="样式 标题 2PIM2H2Heading 2 Hidden2nd levelh22Header 2l2DO N..."/>
    <w:basedOn w:val="4"/>
    <w:qFormat/>
    <w:uiPriority w:val="0"/>
    <w:pPr>
      <w:jc w:val="left"/>
    </w:pPr>
    <w:rPr>
      <w:rFonts w:cs="宋体"/>
      <w:sz w:val="28"/>
      <w:szCs w:val="20"/>
    </w:rPr>
  </w:style>
  <w:style w:type="paragraph" w:customStyle="1" w:styleId="94">
    <w:name w:val="表格文字"/>
    <w:basedOn w:val="1"/>
    <w:qFormat/>
    <w:uiPriority w:val="0"/>
  </w:style>
  <w:style w:type="paragraph" w:customStyle="1" w:styleId="95">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96">
    <w:name w:val="表头文本"/>
    <w:basedOn w:val="1"/>
    <w:qFormat/>
    <w:uiPriority w:val="0"/>
    <w:pPr>
      <w:autoSpaceDE w:val="0"/>
      <w:autoSpaceDN w:val="0"/>
      <w:adjustRightInd w:val="0"/>
      <w:jc w:val="center"/>
    </w:pPr>
    <w:rPr>
      <w:b/>
      <w:kern w:val="0"/>
      <w:sz w:val="24"/>
      <w:szCs w:val="20"/>
    </w:rPr>
  </w:style>
  <w:style w:type="paragraph" w:customStyle="1" w:styleId="97">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8">
    <w:name w:val="Char Char1 Char Char Char"/>
    <w:basedOn w:val="1"/>
    <w:qFormat/>
    <w:uiPriority w:val="0"/>
  </w:style>
  <w:style w:type="paragraph" w:customStyle="1" w:styleId="99">
    <w:name w:val="ptdl"/>
    <w:basedOn w:val="1"/>
    <w:qFormat/>
    <w:uiPriority w:val="0"/>
    <w:pPr>
      <w:spacing w:after="156"/>
      <w:ind w:firstLine="480"/>
    </w:pPr>
    <w:rPr>
      <w:sz w:val="24"/>
      <w:szCs w:val="20"/>
    </w:rPr>
  </w:style>
  <w:style w:type="paragraph" w:customStyle="1" w:styleId="100">
    <w:name w:val="5"/>
    <w:basedOn w:val="1"/>
    <w:qFormat/>
    <w:uiPriority w:val="0"/>
    <w:pPr>
      <w:widowControl/>
      <w:spacing w:after="160" w:line="240" w:lineRule="exact"/>
      <w:jc w:val="left"/>
    </w:pPr>
    <w:rPr>
      <w:rFonts w:ascii="Verdana" w:hAnsi="Verdana"/>
      <w:kern w:val="0"/>
      <w:sz w:val="20"/>
      <w:szCs w:val="20"/>
      <w:lang w:eastAsia="en-US"/>
    </w:rPr>
  </w:style>
  <w:style w:type="paragraph" w:customStyle="1" w:styleId="101">
    <w:name w:val="编号1"/>
    <w:basedOn w:val="1"/>
    <w:qFormat/>
    <w:uiPriority w:val="0"/>
    <w:pPr>
      <w:spacing w:line="360" w:lineRule="auto"/>
    </w:pPr>
    <w:rPr>
      <w:rFonts w:ascii="Arial" w:hAnsi="Arial"/>
      <w:sz w:val="24"/>
      <w:szCs w:val="20"/>
    </w:rPr>
  </w:style>
  <w:style w:type="paragraph" w:customStyle="1" w:styleId="102">
    <w:name w:val="纯文本 Char"/>
    <w:basedOn w:val="1"/>
    <w:next w:val="22"/>
    <w:qFormat/>
    <w:uiPriority w:val="0"/>
    <w:rPr>
      <w:rFonts w:ascii="宋体" w:hAnsi="Courier New"/>
      <w:szCs w:val="20"/>
    </w:rPr>
  </w:style>
  <w:style w:type="paragraph" w:customStyle="1" w:styleId="103">
    <w:name w:val="小节标题"/>
    <w:basedOn w:val="1"/>
    <w:next w:val="1"/>
    <w:qFormat/>
    <w:uiPriority w:val="0"/>
    <w:pPr>
      <w:widowControl/>
      <w:spacing w:before="120" w:after="120" w:line="0" w:lineRule="atLeast"/>
      <w:jc w:val="left"/>
      <w:textAlignment w:val="baseline"/>
    </w:pPr>
    <w:rPr>
      <w:rFonts w:ascii="方正大黑简体" w:hAnsi="Arial" w:eastAsia="方正大黑简体"/>
      <w:color w:val="000000"/>
      <w:kern w:val="0"/>
      <w:sz w:val="18"/>
      <w:szCs w:val="18"/>
    </w:rPr>
  </w:style>
  <w:style w:type="paragraph" w:customStyle="1" w:styleId="104">
    <w:name w:val="排列"/>
    <w:basedOn w:val="1"/>
    <w:qFormat/>
    <w:uiPriority w:val="0"/>
    <w:pPr>
      <w:tabs>
        <w:tab w:val="left" w:pos="1320"/>
      </w:tabs>
      <w:spacing w:line="360" w:lineRule="auto"/>
      <w:ind w:left="1320" w:hanging="420"/>
    </w:pPr>
    <w:rPr>
      <w:sz w:val="24"/>
    </w:rPr>
  </w:style>
  <w:style w:type="paragraph" w:customStyle="1" w:styleId="105">
    <w:name w:val="列出段落1"/>
    <w:basedOn w:val="1"/>
    <w:qFormat/>
    <w:uiPriority w:val="0"/>
    <w:pPr>
      <w:ind w:firstLine="420" w:firstLineChars="200"/>
    </w:pPr>
    <w:rPr>
      <w:rFonts w:ascii="Calibri" w:hAnsi="Calibri"/>
      <w:szCs w:val="22"/>
    </w:rPr>
  </w:style>
  <w:style w:type="paragraph" w:customStyle="1" w:styleId="106">
    <w:name w:val="4"/>
    <w:basedOn w:val="1"/>
    <w:next w:val="22"/>
    <w:qFormat/>
    <w:uiPriority w:val="0"/>
    <w:rPr>
      <w:rFonts w:ascii="宋体" w:hAnsi="Courier New" w:cs="Courier New"/>
      <w:szCs w:val="21"/>
    </w:rPr>
  </w:style>
  <w:style w:type="paragraph" w:customStyle="1" w:styleId="107">
    <w:name w:val="简单回函地址"/>
    <w:basedOn w:val="1"/>
    <w:qFormat/>
    <w:uiPriority w:val="0"/>
    <w:rPr>
      <w:szCs w:val="20"/>
    </w:rPr>
  </w:style>
  <w:style w:type="paragraph" w:customStyle="1" w:styleId="108">
    <w:name w:val="样式3"/>
    <w:basedOn w:val="22"/>
    <w:qFormat/>
    <w:uiPriority w:val="0"/>
    <w:pPr>
      <w:spacing w:line="0" w:lineRule="atLeast"/>
      <w:outlineLvl w:val="0"/>
    </w:pPr>
    <w:rPr>
      <w:rFonts w:cs="Times New Roman"/>
      <w:sz w:val="28"/>
      <w:szCs w:val="20"/>
    </w:rPr>
  </w:style>
  <w:style w:type="paragraph" w:customStyle="1" w:styleId="109">
    <w:name w:val="Char Char Char Char Char Char Char"/>
    <w:basedOn w:val="1"/>
    <w:qFormat/>
    <w:uiPriority w:val="0"/>
  </w:style>
  <w:style w:type="paragraph" w:customStyle="1" w:styleId="11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11">
    <w:name w:val="项目排列"/>
    <w:basedOn w:val="1"/>
    <w:qFormat/>
    <w:uiPriority w:val="0"/>
    <w:pPr>
      <w:tabs>
        <w:tab w:val="left" w:pos="780"/>
      </w:tabs>
      <w:spacing w:beforeLines="50" w:afterLines="50" w:line="300" w:lineRule="auto"/>
      <w:ind w:left="780" w:hanging="420"/>
    </w:pPr>
    <w:rPr>
      <w:sz w:val="24"/>
    </w:rPr>
  </w:style>
  <w:style w:type="paragraph" w:customStyle="1" w:styleId="112">
    <w:name w:val="xl27"/>
    <w:basedOn w:val="1"/>
    <w:qFormat/>
    <w:uiPriority w:val="0"/>
    <w:pPr>
      <w:widowControl/>
      <w:overflowPunct w:val="0"/>
      <w:autoSpaceDE w:val="0"/>
      <w:autoSpaceDN w:val="0"/>
      <w:adjustRightInd w:val="0"/>
      <w:spacing w:before="100" w:after="100"/>
      <w:jc w:val="left"/>
      <w:textAlignment w:val="baseline"/>
    </w:pPr>
    <w:rPr>
      <w:rFonts w:ascii="宋体"/>
      <w:kern w:val="0"/>
      <w:sz w:val="24"/>
      <w:szCs w:val="20"/>
    </w:rPr>
  </w:style>
  <w:style w:type="paragraph" w:customStyle="1" w:styleId="113">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114">
    <w:name w:val="标3"/>
    <w:basedOn w:val="1"/>
    <w:qFormat/>
    <w:uiPriority w:val="0"/>
    <w:pPr>
      <w:tabs>
        <w:tab w:val="left" w:pos="1260"/>
      </w:tabs>
      <w:adjustRightInd w:val="0"/>
      <w:snapToGrid w:val="0"/>
      <w:spacing w:before="50"/>
      <w:ind w:left="1260" w:hanging="420"/>
      <w:outlineLvl w:val="2"/>
    </w:pPr>
    <w:rPr>
      <w:rFonts w:ascii="Arial Narrow" w:hAnsi="Arial Narrow" w:eastAsia="仿宋_GB2312"/>
      <w:sz w:val="28"/>
      <w:szCs w:val="20"/>
    </w:rPr>
  </w:style>
  <w:style w:type="character" w:customStyle="1" w:styleId="115">
    <w:name w:val="页脚 Char"/>
    <w:basedOn w:val="43"/>
    <w:link w:val="27"/>
    <w:qFormat/>
    <w:uiPriority w:val="99"/>
    <w:rPr>
      <w:kern w:val="2"/>
      <w:sz w:val="18"/>
      <w:szCs w:val="18"/>
    </w:rPr>
  </w:style>
  <w:style w:type="paragraph" w:customStyle="1" w:styleId="116">
    <w:name w:val="Table Paragraph"/>
    <w:basedOn w:val="1"/>
    <w:qFormat/>
    <w:uiPriority w:val="0"/>
    <w:pPr>
      <w:keepNext w:val="0"/>
      <w:keepLines w:val="0"/>
      <w:widowControl w:val="0"/>
      <w:suppressLineNumbers w:val="0"/>
      <w:spacing w:before="0" w:beforeAutospacing="0" w:after="0" w:afterAutospacing="0"/>
      <w:ind w:left="0" w:right="0"/>
      <w:jc w:val="left"/>
    </w:pPr>
    <w:rPr>
      <w:rFonts w:hint="eastAsia" w:ascii="宋体" w:hAnsi="宋体" w:eastAsia="宋体" w:cs="宋体"/>
      <w:kern w:val="0"/>
      <w:sz w:val="22"/>
      <w:szCs w:val="22"/>
      <w:lang w:val="en-US" w:eastAsia="zh-CN" w:bidi="ar"/>
    </w:rPr>
  </w:style>
  <w:style w:type="character" w:customStyle="1" w:styleId="117">
    <w:name w:val="font31"/>
    <w:basedOn w:val="43"/>
    <w:qFormat/>
    <w:uiPriority w:val="0"/>
    <w:rPr>
      <w:rFonts w:hint="eastAsia" w:ascii="宋体" w:hAnsi="宋体" w:eastAsia="宋体" w:cs="宋体"/>
      <w:color w:val="000000"/>
      <w:sz w:val="24"/>
      <w:szCs w:val="24"/>
      <w:u w:val="none"/>
    </w:rPr>
  </w:style>
  <w:style w:type="character" w:customStyle="1" w:styleId="118">
    <w:name w:val="font41"/>
    <w:basedOn w:val="43"/>
    <w:qFormat/>
    <w:uiPriority w:val="0"/>
    <w:rPr>
      <w:rFonts w:hint="default" w:ascii="Times New Roman" w:hAnsi="Times New Roman" w:cs="Times New Roman"/>
      <w:color w:val="000000"/>
      <w:sz w:val="14"/>
      <w:szCs w:val="14"/>
      <w:u w:val="none"/>
    </w:rPr>
  </w:style>
  <w:style w:type="paragraph" w:customStyle="1" w:styleId="119">
    <w:name w:val="Table caption|1"/>
    <w:basedOn w:val="1"/>
    <w:qFormat/>
    <w:uiPriority w:val="0"/>
    <w:pPr>
      <w:keepNext w:val="0"/>
      <w:keepLines w:val="0"/>
      <w:widowControl w:val="0"/>
      <w:suppressLineNumbers w:val="0"/>
      <w:spacing w:before="0" w:beforeAutospacing="0" w:after="0" w:afterAutospacing="0"/>
      <w:ind w:left="0" w:right="0"/>
      <w:jc w:val="left"/>
    </w:pPr>
    <w:rPr>
      <w:rFonts w:hint="eastAsia" w:ascii="宋体" w:hAnsi="宋体" w:eastAsia="宋体" w:cs="宋体"/>
      <w:color w:val="000000"/>
      <w:kern w:val="0"/>
      <w:sz w:val="22"/>
      <w:szCs w:val="22"/>
      <w:lang w:val="en-US" w:eastAsia="zh-CN" w:bidi="ar"/>
    </w:rPr>
  </w:style>
  <w:style w:type="paragraph" w:customStyle="1" w:styleId="120">
    <w:name w:val="Other|1"/>
    <w:basedOn w:val="1"/>
    <w:qFormat/>
    <w:uiPriority w:val="0"/>
    <w:pPr>
      <w:keepNext w:val="0"/>
      <w:keepLines w:val="0"/>
      <w:widowControl w:val="0"/>
      <w:suppressLineNumbers w:val="0"/>
      <w:spacing w:before="0" w:beforeAutospacing="0" w:after="0" w:afterAutospacing="0" w:line="436" w:lineRule="auto"/>
      <w:ind w:left="0" w:right="0" w:firstLine="400"/>
      <w:jc w:val="left"/>
    </w:pPr>
    <w:rPr>
      <w:rFonts w:hint="eastAsia" w:ascii="宋体" w:hAnsi="宋体" w:eastAsia="宋体" w:cs="宋体"/>
      <w:color w:val="000000"/>
      <w:kern w:val="0"/>
      <w:sz w:val="22"/>
      <w:szCs w:val="22"/>
      <w:lang w:val="en-US" w:eastAsia="zh-CN" w:bidi="ar"/>
    </w:rPr>
  </w:style>
  <w:style w:type="paragraph" w:customStyle="1" w:styleId="121">
    <w:name w:val="Body text|1"/>
    <w:basedOn w:val="1"/>
    <w:qFormat/>
    <w:uiPriority w:val="0"/>
    <w:pPr>
      <w:keepNext w:val="0"/>
      <w:keepLines w:val="0"/>
      <w:widowControl w:val="0"/>
      <w:suppressLineNumbers w:val="0"/>
      <w:spacing w:before="0" w:beforeAutospacing="0" w:after="0" w:afterAutospacing="0" w:line="436" w:lineRule="auto"/>
      <w:ind w:left="0" w:right="0" w:firstLine="400"/>
      <w:jc w:val="left"/>
    </w:pPr>
    <w:rPr>
      <w:rFonts w:hint="eastAsia" w:ascii="宋体" w:hAnsi="宋体" w:eastAsia="宋体" w:cs="宋体"/>
      <w:color w:val="000000"/>
      <w:kern w:val="0"/>
      <w:sz w:val="22"/>
      <w:szCs w:val="22"/>
      <w:lang w:val="en-US" w:eastAsia="zh-CN" w:bidi="ar"/>
    </w:rPr>
  </w:style>
  <w:style w:type="character" w:customStyle="1" w:styleId="122">
    <w:name w:val="font21"/>
    <w:basedOn w:val="43"/>
    <w:qFormat/>
    <w:uiPriority w:val="0"/>
    <w:rPr>
      <w:rFonts w:hint="eastAsia" w:ascii="宋体" w:hAnsi="宋体" w:eastAsia="宋体" w:cs="宋体"/>
      <w:color w:val="000000"/>
      <w:sz w:val="24"/>
      <w:szCs w:val="24"/>
      <w:u w:val="none"/>
    </w:rPr>
  </w:style>
  <w:style w:type="character" w:customStyle="1" w:styleId="123">
    <w:name w:val="font61"/>
    <w:basedOn w:val="43"/>
    <w:qFormat/>
    <w:uiPriority w:val="0"/>
    <w:rPr>
      <w:rFonts w:ascii="仿宋_GB2312" w:eastAsia="仿宋_GB2312" w:cs="仿宋_GB2312"/>
      <w:b/>
      <w:bCs/>
      <w:color w:val="000000"/>
      <w:sz w:val="24"/>
      <w:szCs w:val="24"/>
      <w:u w:val="none"/>
    </w:rPr>
  </w:style>
  <w:style w:type="character" w:customStyle="1" w:styleId="124">
    <w:name w:val="标题 2 字符"/>
    <w:link w:val="4"/>
    <w:qFormat/>
    <w:uiPriority w:val="0"/>
    <w:rPr>
      <w:rFonts w:ascii="Arial" w:hAnsi="Arial" w:eastAsia="黑体" w:cs="Times New Roman"/>
      <w:b/>
      <w:bCs/>
      <w:kern w:val="0"/>
      <w:sz w:val="30"/>
      <w:szCs w:val="32"/>
    </w:rPr>
  </w:style>
  <w:style w:type="character" w:customStyle="1" w:styleId="125">
    <w:name w:val="hover"/>
    <w:basedOn w:val="43"/>
    <w:qFormat/>
    <w:uiPriority w:val="0"/>
  </w:style>
  <w:style w:type="character" w:customStyle="1" w:styleId="126">
    <w:name w:val="hover1"/>
    <w:basedOn w:val="43"/>
    <w:qFormat/>
    <w:uiPriority w:val="0"/>
    <w:rPr>
      <w:color w:val="2590EB"/>
    </w:rPr>
  </w:style>
  <w:style w:type="character" w:customStyle="1" w:styleId="127">
    <w:name w:val="hover2"/>
    <w:basedOn w:val="43"/>
    <w:qFormat/>
    <w:uiPriority w:val="0"/>
    <w:rPr>
      <w:color w:val="2590EB"/>
    </w:rPr>
  </w:style>
  <w:style w:type="character" w:customStyle="1" w:styleId="128">
    <w:name w:val="hover3"/>
    <w:basedOn w:val="43"/>
    <w:qFormat/>
    <w:uiPriority w:val="0"/>
    <w:rPr>
      <w:color w:val="2590EB"/>
      <w:shd w:val="clear" w:fill="E9F4FD"/>
    </w:rPr>
  </w:style>
  <w:style w:type="character" w:customStyle="1" w:styleId="129">
    <w:name w:val="time"/>
    <w:basedOn w:val="43"/>
    <w:qFormat/>
    <w:uiPriority w:val="0"/>
  </w:style>
  <w:style w:type="character" w:customStyle="1" w:styleId="130">
    <w:name w:val="status"/>
    <w:basedOn w:val="43"/>
    <w:qFormat/>
    <w:uiPriority w:val="0"/>
    <w:rPr>
      <w:color w:val="0776DD"/>
    </w:rPr>
  </w:style>
  <w:style w:type="character" w:customStyle="1" w:styleId="131">
    <w:name w:val="mini-outputtext1"/>
    <w:basedOn w:val="43"/>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2057" textRotate="1"/>
    <customShpInfo spid="_x0000_s2051"/>
    <customShpInfo spid="_x0000_s2058" textRotate="1"/>
    <customShpInfo spid="_x0000_s2054"/>
    <customShpInfo spid="_x0000_s2059" textRotate="1"/>
    <customShpInfo spid="_x0000_s2060" textRotate="1"/>
    <customShpInfo spid="_x0000_s2061" textRotate="1"/>
    <customShpInfo spid="_x0000_s2062"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88C784-7A85-463B-8BF2-EC32A5B330BA}">
  <ds:schemaRefs/>
</ds:datastoreItem>
</file>

<file path=docProps/app.xml><?xml version="1.0" encoding="utf-8"?>
<Properties xmlns="http://schemas.openxmlformats.org/officeDocument/2006/extended-properties" xmlns:vt="http://schemas.openxmlformats.org/officeDocument/2006/docPropsVTypes">
  <Template>Normal</Template>
  <Company>厦门市公物采购招投标有限公司</Company>
  <Pages>88</Pages>
  <Words>40353</Words>
  <Characters>43485</Characters>
  <Lines>1</Lines>
  <Paragraphs>1</Paragraphs>
  <TotalTime>28</TotalTime>
  <ScaleCrop>false</ScaleCrop>
  <LinksUpToDate>false</LinksUpToDate>
  <CharactersWithSpaces>45659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2020-03-10T07:03:00Z</dcterms:created>
  <dc:creator>黄丽萍</dc:creator>
  <cp:lastModifiedBy>超人小姐</cp:lastModifiedBy>
  <cp:lastPrinted>2018-12-09T06:47:00Z</cp:lastPrinted>
  <dcterms:modified xsi:type="dcterms:W3CDTF">2023-01-06T02:37:41Z</dcterms:modified>
  <dc:title>财政货物公开招标范本（2015第一版）</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F8F258E8B7334B6183CBB20FB0AE94BB</vt:lpwstr>
  </property>
</Properties>
</file>